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92" w:rsidRPr="00E22FB5" w:rsidRDefault="00BC0D92" w:rsidP="00BC0D92">
      <w:pPr>
        <w:contextualSpacing/>
        <w:jc w:val="right"/>
        <w:rPr>
          <w:bCs/>
          <w:sz w:val="80"/>
          <w:szCs w:val="80"/>
        </w:rPr>
      </w:pPr>
      <w:bookmarkStart w:id="0" w:name="_Toc316405565"/>
      <w:bookmarkStart w:id="1" w:name="_GoBack"/>
      <w:bookmarkEnd w:id="1"/>
    </w:p>
    <w:p w:rsidR="00BC0D92" w:rsidRPr="00E163DD" w:rsidRDefault="002B694F" w:rsidP="00BC0D92">
      <w:pPr>
        <w:contextualSpacing/>
        <w:jc w:val="right"/>
        <w:rPr>
          <w:b/>
          <w:bCs/>
          <w:sz w:val="72"/>
          <w:szCs w:val="72"/>
        </w:rPr>
      </w:pPr>
      <w:r>
        <w:rPr>
          <w:b/>
          <w:bCs/>
          <w:noProof/>
          <w:sz w:val="72"/>
          <w:szCs w:val="72"/>
        </w:rPr>
        <w:drawing>
          <wp:anchor distT="0" distB="0" distL="114300" distR="114300" simplePos="0" relativeHeight="251655168" behindDoc="0" locked="0" layoutInCell="1" allowOverlap="1" wp14:anchorId="56F54250" wp14:editId="19FDEA02">
            <wp:simplePos x="0" y="0"/>
            <wp:positionH relativeFrom="margin">
              <wp:posOffset>95250</wp:posOffset>
            </wp:positionH>
            <wp:positionV relativeFrom="margin">
              <wp:posOffset>769620</wp:posOffset>
            </wp:positionV>
            <wp:extent cx="1263650" cy="1295400"/>
            <wp:effectExtent l="0" t="0" r="0" b="0"/>
            <wp:wrapNone/>
            <wp:docPr id="15" name="Picture 2"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and Human Servic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92" w:rsidRPr="00E163DD">
        <w:rPr>
          <w:b/>
          <w:bCs/>
          <w:sz w:val="72"/>
          <w:szCs w:val="72"/>
        </w:rPr>
        <w:t>DEPARTMENT</w:t>
      </w:r>
    </w:p>
    <w:p w:rsidR="00BC0D92" w:rsidRPr="00E163DD" w:rsidRDefault="00BC0D92" w:rsidP="00BC0D92">
      <w:pPr>
        <w:contextualSpacing/>
        <w:jc w:val="right"/>
        <w:rPr>
          <w:b/>
          <w:bCs/>
          <w:sz w:val="72"/>
          <w:szCs w:val="72"/>
        </w:rPr>
      </w:pPr>
      <w:r w:rsidRPr="00E163DD">
        <w:rPr>
          <w:b/>
          <w:bCs/>
          <w:sz w:val="72"/>
          <w:szCs w:val="72"/>
        </w:rPr>
        <w:t>of HEALTH</w:t>
      </w:r>
    </w:p>
    <w:p w:rsidR="00BC0D92" w:rsidRPr="00E163DD" w:rsidRDefault="00BC0D92" w:rsidP="00BC0D92">
      <w:pPr>
        <w:contextualSpacing/>
        <w:jc w:val="right"/>
        <w:rPr>
          <w:b/>
          <w:bCs/>
          <w:sz w:val="72"/>
          <w:szCs w:val="72"/>
        </w:rPr>
      </w:pPr>
      <w:r w:rsidRPr="00E163DD">
        <w:rPr>
          <w:b/>
          <w:bCs/>
          <w:sz w:val="72"/>
          <w:szCs w:val="72"/>
        </w:rPr>
        <w:t>and HUMAN</w:t>
      </w:r>
    </w:p>
    <w:p w:rsidR="00BC0D92" w:rsidRPr="00E163DD" w:rsidRDefault="00BC0D92" w:rsidP="00BC0D92">
      <w:pPr>
        <w:contextualSpacing/>
        <w:jc w:val="right"/>
        <w:rPr>
          <w:b/>
          <w:bCs/>
          <w:sz w:val="72"/>
          <w:szCs w:val="72"/>
        </w:rPr>
      </w:pPr>
      <w:r w:rsidRPr="00E163DD">
        <w:rPr>
          <w:b/>
          <w:bCs/>
          <w:sz w:val="72"/>
          <w:szCs w:val="72"/>
        </w:rPr>
        <w:t>SERVICES</w:t>
      </w:r>
    </w:p>
    <w:p w:rsidR="00BC0D92" w:rsidRDefault="00BC0D92" w:rsidP="00BC0D92">
      <w:pPr>
        <w:contextualSpacing/>
        <w:jc w:val="right"/>
        <w:rPr>
          <w:sz w:val="40"/>
          <w:szCs w:val="40"/>
        </w:rPr>
      </w:pPr>
    </w:p>
    <w:p w:rsidR="00BC0D92" w:rsidRPr="00F559FF" w:rsidRDefault="00BC0D92" w:rsidP="00BC0D92">
      <w:pPr>
        <w:contextualSpacing/>
        <w:jc w:val="right"/>
        <w:rPr>
          <w:sz w:val="40"/>
          <w:szCs w:val="40"/>
        </w:rPr>
      </w:pPr>
    </w:p>
    <w:p w:rsidR="00BC0D92" w:rsidRPr="00EA3F03" w:rsidRDefault="00E163DD" w:rsidP="00E163DD">
      <w:pPr>
        <w:contextualSpacing/>
        <w:jc w:val="center"/>
        <w:rPr>
          <w:b/>
          <w:sz w:val="72"/>
          <w:szCs w:val="72"/>
        </w:rPr>
      </w:pPr>
      <w:r w:rsidRPr="00EA3F03">
        <w:rPr>
          <w:b/>
          <w:sz w:val="72"/>
          <w:szCs w:val="72"/>
        </w:rPr>
        <w:t xml:space="preserve">FY </w:t>
      </w:r>
      <w:r w:rsidR="006F23C4" w:rsidRPr="006F23C4">
        <w:rPr>
          <w:b/>
          <w:sz w:val="72"/>
          <w:szCs w:val="72"/>
        </w:rPr>
        <w:t>201</w:t>
      </w:r>
      <w:r w:rsidR="006F23C4">
        <w:rPr>
          <w:b/>
          <w:sz w:val="72"/>
          <w:szCs w:val="72"/>
        </w:rPr>
        <w:t>5</w:t>
      </w:r>
      <w:r w:rsidR="006F23C4" w:rsidRPr="00EA3F03">
        <w:rPr>
          <w:b/>
          <w:sz w:val="72"/>
          <w:szCs w:val="72"/>
        </w:rPr>
        <w:t xml:space="preserve"> </w:t>
      </w:r>
      <w:r w:rsidRPr="00EA3F03">
        <w:rPr>
          <w:b/>
          <w:sz w:val="72"/>
          <w:szCs w:val="72"/>
        </w:rPr>
        <w:t>Report to Congress</w:t>
      </w:r>
      <w:r w:rsidR="00E27500" w:rsidRPr="00EA3F03">
        <w:rPr>
          <w:b/>
          <w:sz w:val="72"/>
          <w:szCs w:val="72"/>
        </w:rPr>
        <w:t>:</w:t>
      </w:r>
    </w:p>
    <w:p w:rsidR="00E27500" w:rsidRPr="00EA3F03" w:rsidRDefault="00E27500" w:rsidP="00E163DD">
      <w:pPr>
        <w:contextualSpacing/>
        <w:jc w:val="center"/>
        <w:rPr>
          <w:b/>
          <w:sz w:val="72"/>
          <w:szCs w:val="72"/>
        </w:rPr>
      </w:pPr>
      <w:r w:rsidRPr="00EA3F03">
        <w:rPr>
          <w:b/>
          <w:sz w:val="72"/>
          <w:szCs w:val="72"/>
        </w:rPr>
        <w:t>Older Americans Act</w:t>
      </w:r>
    </w:p>
    <w:p w:rsidR="00BC0D92" w:rsidRPr="00F559FF" w:rsidRDefault="00BC0D92" w:rsidP="00BC0D92">
      <w:pPr>
        <w:contextualSpacing/>
        <w:rPr>
          <w:sz w:val="40"/>
          <w:szCs w:val="40"/>
        </w:rPr>
      </w:pPr>
    </w:p>
    <w:p w:rsidR="00E163DD" w:rsidRDefault="00E163DD" w:rsidP="00BC0D92">
      <w:pPr>
        <w:jc w:val="right"/>
        <w:rPr>
          <w:b/>
          <w:sz w:val="52"/>
          <w:szCs w:val="52"/>
        </w:rPr>
      </w:pPr>
    </w:p>
    <w:p w:rsidR="00E163DD" w:rsidRDefault="00E163DD" w:rsidP="00BC0D92">
      <w:pPr>
        <w:jc w:val="right"/>
        <w:rPr>
          <w:b/>
          <w:sz w:val="52"/>
          <w:szCs w:val="52"/>
        </w:rPr>
      </w:pPr>
    </w:p>
    <w:p w:rsidR="00E163DD" w:rsidRPr="00E163DD" w:rsidRDefault="00E163DD" w:rsidP="00BC0D92">
      <w:pPr>
        <w:jc w:val="right"/>
        <w:rPr>
          <w:b/>
          <w:sz w:val="32"/>
          <w:szCs w:val="32"/>
        </w:rPr>
      </w:pPr>
      <w:r w:rsidRPr="00E163DD">
        <w:rPr>
          <w:b/>
          <w:sz w:val="32"/>
          <w:szCs w:val="32"/>
        </w:rPr>
        <w:t>Prepared by</w:t>
      </w:r>
    </w:p>
    <w:p w:rsidR="00BC0D92" w:rsidRPr="00E163DD" w:rsidRDefault="00BC0D92" w:rsidP="00BC0D92">
      <w:pPr>
        <w:jc w:val="right"/>
        <w:rPr>
          <w:b/>
          <w:sz w:val="32"/>
          <w:szCs w:val="32"/>
        </w:rPr>
      </w:pPr>
      <w:r w:rsidRPr="00E163DD">
        <w:rPr>
          <w:b/>
          <w:sz w:val="32"/>
          <w:szCs w:val="32"/>
        </w:rPr>
        <w:t xml:space="preserve">ADMINISTRATION </w:t>
      </w:r>
    </w:p>
    <w:p w:rsidR="00BC0D92" w:rsidRPr="00E163DD" w:rsidRDefault="00BC0D92" w:rsidP="00BC0D92">
      <w:pPr>
        <w:jc w:val="right"/>
        <w:rPr>
          <w:b/>
          <w:sz w:val="32"/>
          <w:szCs w:val="32"/>
        </w:rPr>
      </w:pPr>
      <w:r w:rsidRPr="00E163DD">
        <w:rPr>
          <w:b/>
          <w:sz w:val="32"/>
          <w:szCs w:val="32"/>
        </w:rPr>
        <w:t>ON AGING</w:t>
      </w:r>
    </w:p>
    <w:p w:rsidR="00BC0D92" w:rsidRPr="00E163DD" w:rsidRDefault="00BC0D92" w:rsidP="00BC0D92">
      <w:pPr>
        <w:jc w:val="center"/>
        <w:rPr>
          <w:b/>
          <w:sz w:val="32"/>
          <w:szCs w:val="32"/>
        </w:rPr>
      </w:pPr>
    </w:p>
    <w:p w:rsidR="00BC0D92" w:rsidRPr="00E163DD" w:rsidRDefault="00BC0D92" w:rsidP="00BC0D92">
      <w:pPr>
        <w:contextualSpacing/>
        <w:jc w:val="right"/>
        <w:rPr>
          <w:b/>
          <w:sz w:val="32"/>
          <w:szCs w:val="32"/>
        </w:rPr>
      </w:pPr>
      <w:r w:rsidRPr="00E163DD">
        <w:rPr>
          <w:b/>
          <w:sz w:val="32"/>
          <w:szCs w:val="32"/>
        </w:rPr>
        <w:t xml:space="preserve">ADMINISTRATION FOR </w:t>
      </w:r>
    </w:p>
    <w:p w:rsidR="00BC0D92" w:rsidRPr="00E163DD" w:rsidRDefault="00BC0D92" w:rsidP="00BC0D92">
      <w:pPr>
        <w:contextualSpacing/>
        <w:jc w:val="right"/>
        <w:rPr>
          <w:b/>
          <w:sz w:val="28"/>
          <w:szCs w:val="28"/>
        </w:rPr>
      </w:pPr>
      <w:r w:rsidRPr="00E163DD">
        <w:rPr>
          <w:b/>
          <w:sz w:val="32"/>
          <w:szCs w:val="32"/>
        </w:rPr>
        <w:t>COMMUNITY LIVING</w:t>
      </w:r>
    </w:p>
    <w:p w:rsidR="00BC0D92" w:rsidRPr="00E163DD" w:rsidRDefault="00BC0D92" w:rsidP="00BC0D92">
      <w:pPr>
        <w:contextualSpacing/>
        <w:rPr>
          <w:sz w:val="28"/>
          <w:szCs w:val="28"/>
        </w:rPr>
      </w:pPr>
    </w:p>
    <w:p w:rsidR="00BC0D92" w:rsidRDefault="00BC0D92" w:rsidP="00BC0D92">
      <w:pPr>
        <w:contextualSpacing/>
        <w:rPr>
          <w:sz w:val="40"/>
          <w:szCs w:val="40"/>
        </w:rPr>
      </w:pPr>
    </w:p>
    <w:p w:rsidR="00BC0D92" w:rsidRDefault="002B694F" w:rsidP="00E163DD">
      <w:pPr>
        <w:spacing w:after="200" w:line="276" w:lineRule="auto"/>
        <w:contextualSpacing/>
        <w:jc w:val="right"/>
        <w:rPr>
          <w:b/>
          <w:i/>
          <w:sz w:val="32"/>
          <w:szCs w:val="32"/>
        </w:rPr>
      </w:pPr>
      <w:r>
        <w:rPr>
          <w:b/>
          <w:i/>
          <w:noProof/>
          <w:sz w:val="32"/>
          <w:szCs w:val="32"/>
        </w:rPr>
        <w:drawing>
          <wp:inline distT="0" distB="0" distL="0" distR="0" wp14:anchorId="3D070B45" wp14:editId="524826EA">
            <wp:extent cx="1831340" cy="797560"/>
            <wp:effectExtent l="0" t="0" r="0" b="2540"/>
            <wp:docPr id="21" name="Picture 21" descr="Administration for Community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1340" cy="797560"/>
                    </a:xfrm>
                    <a:prstGeom prst="rect">
                      <a:avLst/>
                    </a:prstGeom>
                    <a:noFill/>
                  </pic:spPr>
                </pic:pic>
              </a:graphicData>
            </a:graphic>
          </wp:inline>
        </w:drawing>
      </w:r>
      <w:r w:rsidR="00BC0D92">
        <w:rPr>
          <w:b/>
          <w:i/>
          <w:sz w:val="32"/>
          <w:szCs w:val="32"/>
        </w:rPr>
        <w:br w:type="page"/>
      </w:r>
    </w:p>
    <w:p w:rsidR="00BC0D92" w:rsidRDefault="00BC0D92" w:rsidP="00BC0D92">
      <w:pPr>
        <w:spacing w:after="200" w:line="276" w:lineRule="auto"/>
        <w:contextualSpacing/>
        <w:rPr>
          <w:b/>
          <w:i/>
          <w:sz w:val="32"/>
          <w:szCs w:val="32"/>
        </w:rPr>
      </w:pPr>
    </w:p>
    <w:p w:rsidR="00BC0D92" w:rsidRDefault="00BC0D92" w:rsidP="00BC0D92">
      <w:pPr>
        <w:spacing w:after="200" w:line="276" w:lineRule="auto"/>
        <w:contextualSpacing/>
        <w:rPr>
          <w:b/>
          <w:i/>
          <w:sz w:val="32"/>
          <w:szCs w:val="32"/>
        </w:rPr>
      </w:pPr>
    </w:p>
    <w:p w:rsidR="00BC0D92" w:rsidRDefault="00BC0D92" w:rsidP="00BC0D92">
      <w:pPr>
        <w:spacing w:after="200" w:line="276" w:lineRule="auto"/>
        <w:contextualSpacing/>
        <w:rPr>
          <w:sz w:val="32"/>
          <w:szCs w:val="32"/>
        </w:rPr>
      </w:pPr>
    </w:p>
    <w:p w:rsidR="00BC0D92" w:rsidRDefault="00BC0D92" w:rsidP="00BC0D92">
      <w:pPr>
        <w:spacing w:after="200" w:line="276" w:lineRule="auto"/>
        <w:contextualSpacing/>
        <w:rPr>
          <w:sz w:val="32"/>
          <w:szCs w:val="32"/>
        </w:rPr>
      </w:pPr>
    </w:p>
    <w:p w:rsidR="00BC0D92" w:rsidRDefault="00BC0D92" w:rsidP="00BC0D92">
      <w:pPr>
        <w:spacing w:after="200" w:line="276" w:lineRule="auto"/>
        <w:contextualSpacing/>
        <w:rPr>
          <w:sz w:val="32"/>
          <w:szCs w:val="32"/>
        </w:rPr>
      </w:pPr>
    </w:p>
    <w:p w:rsidR="00BC0D92" w:rsidRDefault="00BC0D92" w:rsidP="00BC0D92">
      <w:pPr>
        <w:spacing w:after="200" w:line="276" w:lineRule="auto"/>
        <w:contextualSpacing/>
        <w:jc w:val="center"/>
      </w:pPr>
    </w:p>
    <w:p w:rsidR="00BC0D92" w:rsidRDefault="00BC0D92" w:rsidP="00BC0D92">
      <w:pPr>
        <w:spacing w:after="200" w:line="276" w:lineRule="auto"/>
        <w:contextualSpacing/>
        <w:jc w:val="center"/>
      </w:pPr>
    </w:p>
    <w:p w:rsidR="00BC0D92" w:rsidRDefault="00BC0D92" w:rsidP="00BC0D92">
      <w:pPr>
        <w:spacing w:after="200" w:line="276" w:lineRule="auto"/>
        <w:contextualSpacing/>
        <w:jc w:val="center"/>
      </w:pPr>
    </w:p>
    <w:p w:rsidR="00BC0D92" w:rsidRDefault="00BC0D92" w:rsidP="00BC0D92">
      <w:pPr>
        <w:spacing w:after="200" w:line="276" w:lineRule="auto"/>
        <w:contextualSpacing/>
        <w:jc w:val="center"/>
      </w:pPr>
    </w:p>
    <w:p w:rsidR="00BC0D92" w:rsidRDefault="00BC0D92" w:rsidP="00BC0D92">
      <w:pPr>
        <w:spacing w:after="200" w:line="276" w:lineRule="auto"/>
        <w:contextualSpacing/>
        <w:jc w:val="center"/>
      </w:pPr>
    </w:p>
    <w:p w:rsidR="00BC0D92" w:rsidRDefault="00BC0D92" w:rsidP="00BC0D92">
      <w:pPr>
        <w:spacing w:after="200" w:line="276" w:lineRule="auto"/>
        <w:contextualSpacing/>
        <w:jc w:val="center"/>
      </w:pPr>
    </w:p>
    <w:p w:rsidR="00BC0D92" w:rsidRDefault="00BC0D92" w:rsidP="00BC0D92">
      <w:pPr>
        <w:spacing w:after="200" w:line="276" w:lineRule="auto"/>
        <w:contextualSpacing/>
        <w:jc w:val="center"/>
        <w:rPr>
          <w:b/>
        </w:rPr>
      </w:pPr>
      <w:r w:rsidRPr="001F3B55">
        <w:rPr>
          <w:b/>
        </w:rPr>
        <w:t xml:space="preserve"> THIS PAGE INTENTIONALLY LEFT BLANK</w:t>
      </w:r>
    </w:p>
    <w:p w:rsidR="00BC0D92" w:rsidRDefault="00BC0D92" w:rsidP="00BC0D92">
      <w:pPr>
        <w:spacing w:after="200" w:line="276" w:lineRule="auto"/>
        <w:contextualSpacing/>
        <w:jc w:val="center"/>
        <w:rPr>
          <w:b/>
        </w:rPr>
      </w:pPr>
    </w:p>
    <w:p w:rsidR="00BC0D92" w:rsidRDefault="00BC0D92" w:rsidP="00BC0D92">
      <w:pPr>
        <w:spacing w:after="200" w:line="276" w:lineRule="auto"/>
        <w:contextualSpacing/>
        <w:jc w:val="center"/>
        <w:rPr>
          <w:b/>
        </w:rPr>
      </w:pPr>
    </w:p>
    <w:p w:rsidR="00BC0D92" w:rsidRDefault="00BC0D92" w:rsidP="00BC0D92">
      <w:pPr>
        <w:spacing w:after="200" w:line="276" w:lineRule="auto"/>
        <w:contextualSpacing/>
        <w:jc w:val="center"/>
        <w:rPr>
          <w:b/>
        </w:rPr>
      </w:pPr>
    </w:p>
    <w:p w:rsidR="00BC0D92" w:rsidRDefault="00BC0D92" w:rsidP="00BC0D92">
      <w:pPr>
        <w:spacing w:after="200" w:line="276" w:lineRule="auto"/>
        <w:contextualSpacing/>
        <w:jc w:val="center"/>
        <w:rPr>
          <w:b/>
        </w:rPr>
      </w:pPr>
    </w:p>
    <w:p w:rsidR="00BC0D92" w:rsidRPr="008F5481" w:rsidRDefault="00BC0D92" w:rsidP="00DD20DA">
      <w:pPr>
        <w:jc w:val="center"/>
        <w:rPr>
          <w:b/>
          <w:i/>
          <w:sz w:val="32"/>
          <w:szCs w:val="32"/>
        </w:rPr>
      </w:pPr>
      <w:r>
        <w:rPr>
          <w:b/>
        </w:rPr>
        <w:br w:type="page"/>
      </w:r>
      <w:r w:rsidRPr="008F5481">
        <w:rPr>
          <w:b/>
          <w:i/>
          <w:sz w:val="32"/>
          <w:szCs w:val="32"/>
        </w:rPr>
        <w:lastRenderedPageBreak/>
        <w:t xml:space="preserve">FROM THE ADMINISTRATION </w:t>
      </w:r>
      <w:r w:rsidR="008F5481" w:rsidRPr="008F5481">
        <w:rPr>
          <w:b/>
          <w:i/>
          <w:sz w:val="32"/>
          <w:szCs w:val="32"/>
        </w:rPr>
        <w:t>FOR COMMUNITY LIVING</w:t>
      </w:r>
    </w:p>
    <w:p w:rsidR="00673BC3" w:rsidRPr="00FD27F6" w:rsidRDefault="00673BC3" w:rsidP="00752C8B">
      <w:pPr>
        <w:shd w:val="clear" w:color="auto" w:fill="FFFFFF"/>
        <w:spacing w:before="100" w:beforeAutospacing="1" w:after="100" w:afterAutospacing="1"/>
        <w:jc w:val="both"/>
        <w:textAlignment w:val="top"/>
      </w:pPr>
      <w:r w:rsidRPr="00FD27F6">
        <w:t xml:space="preserve">The Administration for Community Living (ACL) is </w:t>
      </w:r>
      <w:r w:rsidR="00097A5A" w:rsidRPr="00FD27F6">
        <w:t xml:space="preserve">committed to the fundamental principle that older adults and people of all ages with disabilities should be able to live where they choose, with the people they choose, and fully participate in their communities.  ACL’s programs provide individualized, person-centered home and community-based services and supports, and invest in research and best practices, to make that principle a reality for millions of people.  It does so by working with other federal agencies, </w:t>
      </w:r>
      <w:r w:rsidRPr="00FD27F6">
        <w:t>states, localities, Tribal organizations, nonprofit organizations, businesses, and families to help older adults and people with disabilities live in their homes and fully participate in their communities. Those with disabilities or functional limitations of any type, regardless of age, have a common interest: access to home and community-based supports and services that help individuals fully participate in all aspects of society, including having the option to live at home, which can be vital to an individual’s well-being, instead of moving into an institutional setting.</w:t>
      </w:r>
    </w:p>
    <w:p w:rsidR="00752C8B" w:rsidRPr="00673BC3" w:rsidRDefault="00483969" w:rsidP="00483969">
      <w:pPr>
        <w:shd w:val="clear" w:color="auto" w:fill="FFFFFF"/>
        <w:spacing w:before="100" w:beforeAutospacing="1" w:after="100" w:afterAutospacing="1"/>
        <w:jc w:val="both"/>
        <w:textAlignment w:val="top"/>
      </w:pPr>
      <w:r>
        <w:t xml:space="preserve">ACL’s mission is to maximize the independence, well-being, and health of older adults, people with disabilities, and their families and caregivers. </w:t>
      </w:r>
      <w:r w:rsidR="002E13BE" w:rsidRPr="00673BC3">
        <w:t xml:space="preserve">As part of this important mission, </w:t>
      </w:r>
      <w:r w:rsidR="008E2B5B">
        <w:t xml:space="preserve">the Administration on Aging </w:t>
      </w:r>
      <w:r w:rsidR="00483F1F">
        <w:t>(</w:t>
      </w:r>
      <w:r w:rsidR="002E13BE" w:rsidRPr="00D87407">
        <w:t>AoA</w:t>
      </w:r>
      <w:r w:rsidR="00483F1F">
        <w:t>)</w:t>
      </w:r>
      <w:r w:rsidR="002E13BE" w:rsidRPr="00673BC3">
        <w:t xml:space="preserve"> advances the concerns and interests of older people, </w:t>
      </w:r>
      <w:r w:rsidR="00807185" w:rsidRPr="00673BC3">
        <w:t xml:space="preserve">whether living in their own home or in a long-term care facility, </w:t>
      </w:r>
      <w:r w:rsidR="002E13BE" w:rsidRPr="00673BC3">
        <w:t xml:space="preserve">and works with and through the national aging services network to promote the development of comprehensive and coordinated systems of home and community-based care that are responsive to the needs and preferences of older people and their caregivers.  </w:t>
      </w:r>
    </w:p>
    <w:p w:rsidR="00157D52" w:rsidRPr="00B4464D" w:rsidRDefault="00157D52" w:rsidP="00157D52">
      <w:pPr>
        <w:pStyle w:val="BodyText"/>
        <w:contextualSpacing/>
      </w:pPr>
      <w:r w:rsidRPr="00673BC3">
        <w:t xml:space="preserve">The </w:t>
      </w:r>
      <w:r w:rsidR="00483969">
        <w:t xml:space="preserve">national </w:t>
      </w:r>
      <w:r w:rsidR="009218FF">
        <w:t xml:space="preserve">aging services </w:t>
      </w:r>
      <w:r w:rsidRPr="00673BC3">
        <w:t xml:space="preserve">network is comprised of 56 </w:t>
      </w:r>
      <w:r w:rsidR="00F816E3">
        <w:t>s</w:t>
      </w:r>
      <w:r w:rsidRPr="00673BC3">
        <w:t xml:space="preserve">tate and </w:t>
      </w:r>
      <w:r w:rsidR="00F816E3">
        <w:t>t</w:t>
      </w:r>
      <w:r w:rsidRPr="00673BC3">
        <w:t xml:space="preserve">erritorial </w:t>
      </w:r>
      <w:r w:rsidR="00F816E3">
        <w:t>u</w:t>
      </w:r>
      <w:r w:rsidRPr="00673BC3">
        <w:t xml:space="preserve">nits on </w:t>
      </w:r>
      <w:r w:rsidR="00F816E3">
        <w:t>a</w:t>
      </w:r>
      <w:r w:rsidRPr="00673BC3">
        <w:t>ging (</w:t>
      </w:r>
      <w:r w:rsidRPr="00AE5090">
        <w:t xml:space="preserve">SUA), 618 </w:t>
      </w:r>
      <w:r w:rsidR="00F816E3" w:rsidRPr="00AE5090">
        <w:t>a</w:t>
      </w:r>
      <w:r w:rsidRPr="00AE5090">
        <w:t xml:space="preserve">rea </w:t>
      </w:r>
      <w:r w:rsidR="00F816E3" w:rsidRPr="00AE5090">
        <w:t>a</w:t>
      </w:r>
      <w:r w:rsidRPr="00AE5090">
        <w:t xml:space="preserve">gencies on </w:t>
      </w:r>
      <w:r w:rsidR="00F816E3" w:rsidRPr="00AE5090">
        <w:t>a</w:t>
      </w:r>
      <w:r w:rsidRPr="00AE5090">
        <w:t>ging (AAA</w:t>
      </w:r>
      <w:r w:rsidR="00FD27F6" w:rsidRPr="00AE5090">
        <w:t>s</w:t>
      </w:r>
      <w:r w:rsidRPr="00AE5090">
        <w:t xml:space="preserve">), </w:t>
      </w:r>
      <w:r w:rsidR="00F15BED" w:rsidRPr="00AE5090">
        <w:t xml:space="preserve">264 </w:t>
      </w:r>
      <w:r w:rsidRPr="00AE5090">
        <w:t xml:space="preserve">Indian </w:t>
      </w:r>
      <w:r w:rsidR="00F816E3" w:rsidRPr="00AE5090">
        <w:t>t</w:t>
      </w:r>
      <w:r w:rsidRPr="00AE5090">
        <w:t xml:space="preserve">ribal and Native Hawaiian organizations, </w:t>
      </w:r>
      <w:r w:rsidR="00E77BD4" w:rsidRPr="00AE5090">
        <w:t xml:space="preserve">more than </w:t>
      </w:r>
      <w:r w:rsidRPr="00AE5090">
        <w:t>20,000 direct service providers, and hundreds</w:t>
      </w:r>
      <w:r w:rsidRPr="00673BC3">
        <w:t xml:space="preserve"> of thousands of volunteers. AoA’s core programs, authorized under the Older Americans Act (OAA), help </w:t>
      </w:r>
      <w:r w:rsidR="00FD27F6">
        <w:t>older adults aged 60 and over</w:t>
      </w:r>
      <w:r w:rsidRPr="00673BC3">
        <w:t xml:space="preserve"> remain at home for as long as possible</w:t>
      </w:r>
      <w:r w:rsidR="00FD27F6">
        <w:t>,</w:t>
      </w:r>
      <w:r w:rsidRPr="00673BC3">
        <w:t xml:space="preserve"> </w:t>
      </w:r>
      <w:r w:rsidR="006A097D">
        <w:t xml:space="preserve">promote the rights of older individuals, </w:t>
      </w:r>
      <w:r w:rsidRPr="00673BC3">
        <w:t>and advocate for individuals who live in long-term care facilities (nursing homes, board and care, assisted living</w:t>
      </w:r>
      <w:r w:rsidR="007F7F94">
        <w:t>,</w:t>
      </w:r>
      <w:r w:rsidRPr="00673BC3">
        <w:t xml:space="preserve"> and similar settings).  </w:t>
      </w:r>
    </w:p>
    <w:p w:rsidR="00157D52" w:rsidRPr="00B4464D" w:rsidRDefault="00157D52" w:rsidP="00157D52">
      <w:pPr>
        <w:jc w:val="both"/>
      </w:pPr>
    </w:p>
    <w:p w:rsidR="00157D52" w:rsidRPr="00B4464D" w:rsidRDefault="00157D52" w:rsidP="00157D52">
      <w:pPr>
        <w:jc w:val="both"/>
      </w:pPr>
      <w:r w:rsidRPr="00AE5090">
        <w:t>The population served through OAA programs and activities will grow ra</w:t>
      </w:r>
      <w:r w:rsidR="00062C53">
        <w:t>pidly</w:t>
      </w:r>
      <w:r w:rsidRPr="00AE5090">
        <w:t xml:space="preserve"> over the next 20 years</w:t>
      </w:r>
      <w:r w:rsidR="008B2736" w:rsidRPr="00AE5090">
        <w:t xml:space="preserve">. An estimated </w:t>
      </w:r>
      <w:r w:rsidR="00F27520" w:rsidRPr="00AE5090">
        <w:t>66.8</w:t>
      </w:r>
      <w:r w:rsidRPr="00AE5090">
        <w:t xml:space="preserve"> million older adults age 60 and over resided in the</w:t>
      </w:r>
      <w:r w:rsidR="00062C53">
        <w:t xml:space="preserve"> </w:t>
      </w:r>
      <w:r w:rsidR="008B2736" w:rsidRPr="00AE5090">
        <w:t xml:space="preserve">U.S. in </w:t>
      </w:r>
      <w:r w:rsidR="00644656" w:rsidRPr="00AE5090">
        <w:t>2015</w:t>
      </w:r>
      <w:r w:rsidR="008B2736" w:rsidRPr="00AE5090">
        <w:t xml:space="preserve">, comprising </w:t>
      </w:r>
      <w:r w:rsidRPr="00AE5090">
        <w:t>2</w:t>
      </w:r>
      <w:r w:rsidR="00F27520" w:rsidRPr="00AE5090">
        <w:t>1</w:t>
      </w:r>
      <w:r w:rsidR="00154466" w:rsidRPr="00AE5090">
        <w:t xml:space="preserve"> percent</w:t>
      </w:r>
      <w:r w:rsidRPr="00AE5090">
        <w:t xml:space="preserve"> of the population</w:t>
      </w:r>
      <w:r w:rsidR="007D7A27" w:rsidRPr="00AE5090">
        <w:t>.</w:t>
      </w:r>
      <w:r w:rsidR="00F27520" w:rsidRPr="00AE5090">
        <w:rPr>
          <w:rStyle w:val="FootnoteReference"/>
        </w:rPr>
        <w:footnoteReference w:id="1"/>
      </w:r>
      <w:r w:rsidRPr="00AE5090">
        <w:t xml:space="preserve">  During this period, the number of older adults</w:t>
      </w:r>
      <w:r w:rsidR="00B3557C" w:rsidRPr="00AE5090">
        <w:t xml:space="preserve"> (age 65 and older)</w:t>
      </w:r>
      <w:r w:rsidRPr="00AE5090">
        <w:t xml:space="preserve"> with severe disabilities – defined as </w:t>
      </w:r>
      <w:r w:rsidR="00062C53">
        <w:t>three</w:t>
      </w:r>
      <w:r w:rsidRPr="00AE5090">
        <w:t xml:space="preserve"> or more limitations in activities </w:t>
      </w:r>
      <w:r w:rsidR="00853662">
        <w:t>of</w:t>
      </w:r>
      <w:r w:rsidRPr="00AE5090">
        <w:t xml:space="preserve"> daily living </w:t>
      </w:r>
      <w:r w:rsidR="007F7F94" w:rsidRPr="00AE5090">
        <w:t>–</w:t>
      </w:r>
      <w:r w:rsidRPr="00AE5090">
        <w:t xml:space="preserve"> who are at greatest risk of nursing home admission will increase substantially.  If current trends continue</w:t>
      </w:r>
      <w:r w:rsidR="007F7F94" w:rsidRPr="00AE5090">
        <w:t>,</w:t>
      </w:r>
      <w:r w:rsidRPr="00AE5090">
        <w:t xml:space="preserve"> this population is projected to increase by </w:t>
      </w:r>
      <w:r w:rsidR="00C633B4" w:rsidRPr="00AE5090">
        <w:t xml:space="preserve">more than </w:t>
      </w:r>
      <w:r w:rsidR="00644656" w:rsidRPr="00AE5090">
        <w:t>18</w:t>
      </w:r>
      <w:r w:rsidR="00B3557C" w:rsidRPr="00AE5090">
        <w:t xml:space="preserve"> </w:t>
      </w:r>
      <w:r w:rsidR="00F816E3" w:rsidRPr="00AE5090">
        <w:t>percent</w:t>
      </w:r>
      <w:r w:rsidRPr="00AE5090">
        <w:t xml:space="preserve"> by the year 2020</w:t>
      </w:r>
      <w:r w:rsidR="00F816E3" w:rsidRPr="00AE5090">
        <w:t>.</w:t>
      </w:r>
      <w:r w:rsidRPr="00AE5090">
        <w:rPr>
          <w:rStyle w:val="FootnoteReference"/>
        </w:rPr>
        <w:footnoteReference w:id="2"/>
      </w:r>
      <w:r w:rsidRPr="00AE5090">
        <w:t xml:space="preserve"> Ten years later, in 2030, when the last of the baby boomers turn age 65, twenty</w:t>
      </w:r>
      <w:r w:rsidR="00B3557C" w:rsidRPr="00AE5090">
        <w:t>-one</w:t>
      </w:r>
      <w:r w:rsidRPr="00AE5090">
        <w:t xml:space="preserve"> </w:t>
      </w:r>
      <w:r w:rsidRPr="00AE5090">
        <w:lastRenderedPageBreak/>
        <w:t>percent of the population, or one in five Americans</w:t>
      </w:r>
      <w:r w:rsidR="009107F3" w:rsidRPr="00AE5090">
        <w:t>,</w:t>
      </w:r>
      <w:r w:rsidRPr="00AE5090">
        <w:t xml:space="preserve"> will be age 65 or over and the number with severe disabil</w:t>
      </w:r>
      <w:r w:rsidR="00394CEF" w:rsidRPr="00AE5090">
        <w:t>it</w:t>
      </w:r>
      <w:r w:rsidR="009107F3" w:rsidRPr="00AE5090">
        <w:t>ies</w:t>
      </w:r>
      <w:r w:rsidR="00394CEF" w:rsidRPr="00AE5090">
        <w:t xml:space="preserve"> will have increased by </w:t>
      </w:r>
      <w:r w:rsidR="00644656" w:rsidRPr="00AE5090">
        <w:t>55</w:t>
      </w:r>
      <w:r w:rsidR="00B3557C" w:rsidRPr="00AE5090">
        <w:t xml:space="preserve"> </w:t>
      </w:r>
      <w:r w:rsidR="00F816E3" w:rsidRPr="00AE5090">
        <w:t>percent</w:t>
      </w:r>
      <w:r w:rsidR="00394CEF" w:rsidRPr="00AE5090">
        <w:t xml:space="preserve"> since 201</w:t>
      </w:r>
      <w:r w:rsidR="00644656" w:rsidRPr="00AE5090">
        <w:t>5</w:t>
      </w:r>
      <w:r w:rsidRPr="00AE5090">
        <w:t>.</w:t>
      </w:r>
      <w:r w:rsidRPr="00AE5090">
        <w:rPr>
          <w:rStyle w:val="FootnoteReference"/>
        </w:rPr>
        <w:footnoteReference w:id="3"/>
      </w:r>
      <w:r w:rsidRPr="004A6A5A">
        <w:t xml:space="preserve"> </w:t>
      </w:r>
    </w:p>
    <w:p w:rsidR="00157D52" w:rsidRDefault="00157D52" w:rsidP="00157D52">
      <w:pPr>
        <w:contextualSpacing/>
      </w:pPr>
    </w:p>
    <w:p w:rsidR="00157D52" w:rsidRPr="00062C53" w:rsidRDefault="006746E3" w:rsidP="00157D52">
      <w:pPr>
        <w:contextualSpacing/>
        <w:jc w:val="both"/>
      </w:pPr>
      <w:r>
        <w:t xml:space="preserve">As our </w:t>
      </w:r>
      <w:r w:rsidR="00853662">
        <w:t>diverse, older population grows</w:t>
      </w:r>
      <w:r>
        <w:t xml:space="preserve"> w</w:t>
      </w:r>
      <w:r w:rsidR="00F37A4A" w:rsidRPr="00062C53">
        <w:t xml:space="preserve">e are seeing more resources shifting towards </w:t>
      </w:r>
      <w:r w:rsidR="00171F00">
        <w:t>person-centered home</w:t>
      </w:r>
      <w:r w:rsidR="009E497D">
        <w:t xml:space="preserve"> </w:t>
      </w:r>
      <w:r w:rsidR="00171F00">
        <w:t xml:space="preserve">and community-based </w:t>
      </w:r>
      <w:r w:rsidR="005D691B">
        <w:t>services</w:t>
      </w:r>
      <w:r w:rsidR="00F37A4A" w:rsidRPr="00062C53">
        <w:t xml:space="preserve"> through a growing recognition that they can improve health outcomes, help avoid more costly interventions, and provide supports that individuals and families desire.  </w:t>
      </w:r>
      <w:r>
        <w:t xml:space="preserve">OAA programs and services assist people to remain independent and in their communities. If even a small percentage of recipients are able to delay institutionalization, it would </w:t>
      </w:r>
      <w:r w:rsidR="00286BE0">
        <w:t xml:space="preserve">likely </w:t>
      </w:r>
      <w:r>
        <w:t>have a significant impact</w:t>
      </w:r>
      <w:r w:rsidR="00286BE0">
        <w:t xml:space="preserve"> on their personal finances, and federal </w:t>
      </w:r>
      <w:r>
        <w:t>expenditures</w:t>
      </w:r>
      <w:r w:rsidR="00286BE0">
        <w:t>, including through the Medicaid program.</w:t>
      </w:r>
      <w:r>
        <w:t xml:space="preserve"> </w:t>
      </w:r>
    </w:p>
    <w:p w:rsidR="00483F1F" w:rsidRPr="00062C53" w:rsidRDefault="00483F1F" w:rsidP="00157D52">
      <w:pPr>
        <w:pStyle w:val="ListParagraph"/>
        <w:ind w:left="0"/>
        <w:jc w:val="both"/>
      </w:pPr>
    </w:p>
    <w:p w:rsidR="00DD5199" w:rsidRDefault="00483F1F" w:rsidP="00157D52">
      <w:pPr>
        <w:pStyle w:val="ListParagraph"/>
        <w:ind w:left="0"/>
        <w:jc w:val="both"/>
      </w:pPr>
      <w:r w:rsidRPr="00062C53">
        <w:t>For more than 50 years, the</w:t>
      </w:r>
      <w:r w:rsidR="00157D52" w:rsidRPr="00062C53">
        <w:t xml:space="preserve"> OAA</w:t>
      </w:r>
      <w:r w:rsidRPr="00062C53">
        <w:t xml:space="preserve"> has provid</w:t>
      </w:r>
      <w:r w:rsidR="005321F2" w:rsidRPr="00062C53">
        <w:t>ed</w:t>
      </w:r>
      <w:r w:rsidR="00383BD6" w:rsidRPr="00062C53">
        <w:t xml:space="preserve"> critical</w:t>
      </w:r>
      <w:r w:rsidR="005D691B">
        <w:t xml:space="preserve"> services</w:t>
      </w:r>
      <w:r w:rsidR="00383BD6" w:rsidRPr="00062C53">
        <w:t xml:space="preserve"> </w:t>
      </w:r>
      <w:r w:rsidRPr="00062C53">
        <w:t xml:space="preserve">that have better enabled millions of older Americans </w:t>
      </w:r>
      <w:r w:rsidR="00157D52" w:rsidRPr="00062C53">
        <w:t>to live independently, with dignity, in their homes and communities</w:t>
      </w:r>
      <w:r w:rsidR="005321F2" w:rsidRPr="00062C53">
        <w:t>.</w:t>
      </w:r>
      <w:r w:rsidRPr="00062C53">
        <w:t xml:space="preserve">  It</w:t>
      </w:r>
      <w:r w:rsidR="003C79D5" w:rsidRPr="00062C53">
        <w:t xml:space="preserve">s programs </w:t>
      </w:r>
      <w:r w:rsidRPr="00062C53">
        <w:t>are</w:t>
      </w:r>
      <w:r w:rsidR="003C79D5" w:rsidRPr="00062C53">
        <w:t xml:space="preserve"> </w:t>
      </w:r>
      <w:r w:rsidR="00383BD6" w:rsidRPr="00062C53">
        <w:t>highly successful</w:t>
      </w:r>
      <w:r w:rsidR="003C79D5" w:rsidRPr="00062C53">
        <w:t xml:space="preserve"> because they</w:t>
      </w:r>
      <w:r w:rsidR="00383BD6" w:rsidRPr="00062C53">
        <w:t xml:space="preserve"> are flexible and</w:t>
      </w:r>
      <w:r w:rsidR="003C79D5" w:rsidRPr="00062C53">
        <w:t xml:space="preserve"> focus on</w:t>
      </w:r>
      <w:r w:rsidR="00383BD6" w:rsidRPr="00062C53">
        <w:t xml:space="preserve"> the needs of each individual</w:t>
      </w:r>
      <w:r w:rsidR="003C79D5" w:rsidRPr="00062C53">
        <w:t xml:space="preserve">, </w:t>
      </w:r>
      <w:r w:rsidRPr="00062C53">
        <w:t xml:space="preserve">better </w:t>
      </w:r>
      <w:r w:rsidR="003C79D5" w:rsidRPr="00062C53">
        <w:t>ensur</w:t>
      </w:r>
      <w:r w:rsidR="00383BD6" w:rsidRPr="00062C53">
        <w:t>ing</w:t>
      </w:r>
      <w:r w:rsidR="003C79D5" w:rsidRPr="00062C53">
        <w:t xml:space="preserve"> that their rights, choices, needs, and independence are maintained through their input and participation</w:t>
      </w:r>
      <w:r w:rsidR="00DD5199" w:rsidRPr="00062C53">
        <w:t>.</w:t>
      </w:r>
      <w:r w:rsidR="003C79D5" w:rsidRPr="00062C53">
        <w:t xml:space="preserve">  </w:t>
      </w:r>
      <w:r w:rsidRPr="00062C53">
        <w:t>I am pleased to present AoA’s Report to Congress for Fiscal Year (FY) 2015.</w:t>
      </w:r>
      <w:r w:rsidRPr="00483F1F">
        <w:t xml:space="preserve">  </w:t>
      </w:r>
    </w:p>
    <w:p w:rsidR="00F37A4A" w:rsidRDefault="00F37A4A" w:rsidP="00157D52">
      <w:pPr>
        <w:pStyle w:val="ListParagraph"/>
        <w:ind w:left="0"/>
        <w:jc w:val="both"/>
      </w:pPr>
    </w:p>
    <w:p w:rsidR="00F37A4A" w:rsidRPr="008373C1" w:rsidRDefault="00F37A4A" w:rsidP="002E13BE">
      <w:pPr>
        <w:pStyle w:val="BodyText"/>
        <w:contextualSpacing/>
        <w:rPr>
          <w:highlight w:val="yellow"/>
        </w:rPr>
      </w:pPr>
    </w:p>
    <w:p w:rsidR="000A403A" w:rsidRPr="0004723E" w:rsidRDefault="006C4749" w:rsidP="000A403A">
      <w:pPr>
        <w:jc w:val="right"/>
      </w:pPr>
      <w:r>
        <w:t>Edwin L. Walker</w:t>
      </w:r>
    </w:p>
    <w:p w:rsidR="002B1C8B" w:rsidRDefault="002B1C8B" w:rsidP="002B1C8B">
      <w:pPr>
        <w:jc w:val="right"/>
      </w:pPr>
      <w:r>
        <w:t xml:space="preserve">Acting Administrator and </w:t>
      </w:r>
      <w:r w:rsidR="00E52A0B">
        <w:t xml:space="preserve">Acting </w:t>
      </w:r>
      <w:r>
        <w:t>Assistant Secretary for Aging</w:t>
      </w:r>
    </w:p>
    <w:p w:rsidR="002271BB" w:rsidRDefault="002B1C8B" w:rsidP="002B1C8B">
      <w:pPr>
        <w:jc w:val="right"/>
      </w:pPr>
      <w:r>
        <w:t>Administration for Community Living</w:t>
      </w:r>
    </w:p>
    <w:p w:rsidR="003B25D9" w:rsidRDefault="00EE0452" w:rsidP="00BC0D92">
      <w:pPr>
        <w:pStyle w:val="ListParagraph"/>
        <w:ind w:left="0"/>
        <w:jc w:val="both"/>
      </w:pPr>
      <w:r>
        <w:br w:type="page"/>
      </w:r>
    </w:p>
    <w:p w:rsidR="004B0290" w:rsidRPr="004B0290" w:rsidRDefault="004B0290" w:rsidP="004B0290">
      <w:pPr>
        <w:tabs>
          <w:tab w:val="left" w:pos="-1440"/>
          <w:tab w:val="right" w:pos="9360"/>
        </w:tabs>
        <w:jc w:val="center"/>
        <w:rPr>
          <w:b/>
          <w:bCs/>
          <w:sz w:val="20"/>
        </w:rPr>
      </w:pPr>
      <w:bookmarkStart w:id="2" w:name="_Toc436738867"/>
      <w:r w:rsidRPr="004B0290">
        <w:rPr>
          <w:b/>
          <w:i/>
          <w:sz w:val="28"/>
          <w:szCs w:val="28"/>
        </w:rPr>
        <w:lastRenderedPageBreak/>
        <w:t>Table of Contents</w:t>
      </w:r>
    </w:p>
    <w:p w:rsidR="004B0290" w:rsidRPr="004B0290" w:rsidRDefault="004B0290" w:rsidP="004B0290">
      <w:pPr>
        <w:rPr>
          <w:b/>
          <w:i/>
          <w:sz w:val="28"/>
          <w:szCs w:val="28"/>
        </w:rPr>
      </w:pPr>
      <w:r w:rsidRPr="004B0290">
        <w:rPr>
          <w:b/>
          <w:i/>
          <w:sz w:val="28"/>
          <w:szCs w:val="28"/>
        </w:rPr>
        <w:t xml:space="preserve">   </w:t>
      </w:r>
      <w:r w:rsidRPr="004B0290">
        <w:rPr>
          <w:b/>
          <w:i/>
          <w:sz w:val="28"/>
          <w:szCs w:val="28"/>
        </w:rPr>
        <w:tab/>
      </w:r>
      <w:r w:rsidRPr="004B0290">
        <w:rPr>
          <w:b/>
          <w:i/>
          <w:sz w:val="28"/>
          <w:szCs w:val="28"/>
        </w:rPr>
        <w:tab/>
      </w:r>
      <w:r w:rsidRPr="004B0290">
        <w:rPr>
          <w:b/>
          <w:i/>
          <w:sz w:val="28"/>
          <w:szCs w:val="28"/>
        </w:rPr>
        <w:tab/>
      </w:r>
      <w:r w:rsidRPr="004B0290">
        <w:rPr>
          <w:b/>
          <w:i/>
          <w:sz w:val="28"/>
          <w:szCs w:val="28"/>
        </w:rPr>
        <w:tab/>
      </w:r>
      <w:r w:rsidRPr="004B0290">
        <w:rPr>
          <w:b/>
          <w:i/>
          <w:sz w:val="28"/>
          <w:szCs w:val="28"/>
        </w:rPr>
        <w:tab/>
      </w:r>
      <w:r w:rsidRPr="004B0290">
        <w:rPr>
          <w:b/>
          <w:i/>
          <w:sz w:val="28"/>
          <w:szCs w:val="28"/>
        </w:rPr>
        <w:tab/>
      </w:r>
      <w:r w:rsidRPr="004B0290">
        <w:rPr>
          <w:b/>
          <w:i/>
          <w:sz w:val="28"/>
          <w:szCs w:val="28"/>
        </w:rPr>
        <w:tab/>
      </w:r>
      <w:r w:rsidRPr="004B0290">
        <w:rPr>
          <w:b/>
          <w:i/>
          <w:sz w:val="28"/>
          <w:szCs w:val="28"/>
        </w:rPr>
        <w:tab/>
      </w:r>
      <w:r w:rsidRPr="004B0290">
        <w:rPr>
          <w:b/>
          <w:i/>
          <w:sz w:val="28"/>
          <w:szCs w:val="28"/>
        </w:rPr>
        <w:tab/>
      </w:r>
      <w:r w:rsidRPr="004B0290">
        <w:rPr>
          <w:b/>
          <w:i/>
          <w:sz w:val="28"/>
          <w:szCs w:val="28"/>
        </w:rPr>
        <w:tab/>
        <w:t xml:space="preserve"> </w:t>
      </w:r>
      <w:r w:rsidRPr="004B0290">
        <w:rPr>
          <w:b/>
          <w:i/>
          <w:sz w:val="28"/>
          <w:szCs w:val="28"/>
          <w:u w:val="single"/>
        </w:rPr>
        <w:t>Page Number</w:t>
      </w:r>
    </w:p>
    <w:p w:rsidR="004B0290" w:rsidRPr="004B0290" w:rsidRDefault="004B0290" w:rsidP="004B0290">
      <w:pPr>
        <w:rPr>
          <w:sz w:val="28"/>
          <w:szCs w:val="28"/>
        </w:rPr>
      </w:pP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r>
      <w:r w:rsidRPr="004B0290">
        <w:rPr>
          <w:sz w:val="28"/>
          <w:szCs w:val="28"/>
        </w:rPr>
        <w:tab/>
        <w:t xml:space="preserve">     </w:t>
      </w:r>
    </w:p>
    <w:p w:rsidR="004B0290" w:rsidRPr="004B0290" w:rsidRDefault="004B0290" w:rsidP="004B0290">
      <w:pPr>
        <w:rPr>
          <w:b/>
          <w:i/>
        </w:rPr>
      </w:pPr>
      <w:r w:rsidRPr="004B0290">
        <w:rPr>
          <w:b/>
        </w:rPr>
        <w:t xml:space="preserve">Introduction </w:t>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t xml:space="preserve">    </w:t>
      </w:r>
      <w:r w:rsidRPr="004B0290">
        <w:rPr>
          <w:b/>
        </w:rPr>
        <w:tab/>
        <w:t xml:space="preserve">    2</w:t>
      </w:r>
    </w:p>
    <w:p w:rsidR="004B0290" w:rsidRPr="004B0290" w:rsidRDefault="004B0290" w:rsidP="004B0290">
      <w:pPr>
        <w:rPr>
          <w:b/>
        </w:rPr>
      </w:pPr>
    </w:p>
    <w:p w:rsidR="004B0290" w:rsidRPr="004B0290" w:rsidRDefault="004B0290" w:rsidP="004B0290">
      <w:pPr>
        <w:rPr>
          <w:b/>
        </w:rPr>
      </w:pPr>
      <w:r w:rsidRPr="004B0290">
        <w:rPr>
          <w:b/>
        </w:rPr>
        <w:t>Executive Summary</w:t>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t xml:space="preserve">    6</w:t>
      </w:r>
    </w:p>
    <w:p w:rsidR="004B0290" w:rsidRPr="004B0290" w:rsidRDefault="004B0290" w:rsidP="00FA2C70">
      <w:pPr>
        <w:numPr>
          <w:ilvl w:val="0"/>
          <w:numId w:val="5"/>
        </w:numPr>
        <w:autoSpaceDE w:val="0"/>
        <w:autoSpaceDN w:val="0"/>
        <w:adjustRightInd w:val="0"/>
        <w:rPr>
          <w:b/>
        </w:rPr>
      </w:pPr>
      <w:r w:rsidRPr="004B0290">
        <w:rPr>
          <w:b/>
        </w:rPr>
        <w:t>National Program Data on Services Provided</w:t>
      </w:r>
      <w:r w:rsidRPr="004B0290">
        <w:rPr>
          <w:b/>
        </w:rPr>
        <w:tab/>
      </w:r>
      <w:r w:rsidRPr="004B0290">
        <w:rPr>
          <w:b/>
        </w:rPr>
        <w:tab/>
      </w:r>
      <w:r w:rsidRPr="004B0290">
        <w:rPr>
          <w:b/>
        </w:rPr>
        <w:tab/>
      </w:r>
      <w:r w:rsidRPr="004B0290">
        <w:rPr>
          <w:b/>
        </w:rPr>
        <w:tab/>
        <w:t xml:space="preserve">    </w:t>
      </w:r>
      <w:r w:rsidR="0068195E">
        <w:rPr>
          <w:b/>
        </w:rPr>
        <w:t>8</w:t>
      </w:r>
    </w:p>
    <w:p w:rsidR="004B0290" w:rsidRPr="004B0290" w:rsidRDefault="004B0290" w:rsidP="004B0290">
      <w:pPr>
        <w:rPr>
          <w:b/>
        </w:rPr>
      </w:pPr>
      <w:r w:rsidRPr="004B0290">
        <w:rPr>
          <w:b/>
        </w:rPr>
        <w:tab/>
      </w:r>
      <w:r w:rsidRPr="004B0290">
        <w:rPr>
          <w:b/>
        </w:rPr>
        <w:tab/>
      </w:r>
      <w:r w:rsidRPr="004B0290">
        <w:rPr>
          <w:b/>
        </w:rPr>
        <w:tab/>
        <w:t xml:space="preserve">  </w:t>
      </w:r>
      <w:r w:rsidRPr="004B0290">
        <w:rPr>
          <w:b/>
        </w:rPr>
        <w:tab/>
        <w:t xml:space="preserve">    </w:t>
      </w:r>
      <w:r w:rsidRPr="004B0290">
        <w:rPr>
          <w:b/>
        </w:rPr>
        <w:tab/>
      </w:r>
      <w:r w:rsidRPr="004B0290">
        <w:rPr>
          <w:b/>
        </w:rPr>
        <w:tab/>
      </w:r>
      <w:r w:rsidRPr="004B0290">
        <w:rPr>
          <w:b/>
        </w:rPr>
        <w:tab/>
        <w:t xml:space="preserve">   </w:t>
      </w:r>
      <w:r w:rsidRPr="004B0290">
        <w:rPr>
          <w:b/>
        </w:rPr>
        <w:tab/>
        <w:t xml:space="preserve"> </w:t>
      </w:r>
    </w:p>
    <w:p w:rsidR="004B0290" w:rsidRPr="004B0290" w:rsidRDefault="004B0290" w:rsidP="004B0290">
      <w:pPr>
        <w:autoSpaceDE w:val="0"/>
        <w:autoSpaceDN w:val="0"/>
        <w:adjustRightInd w:val="0"/>
        <w:rPr>
          <w:b/>
        </w:rPr>
      </w:pPr>
      <w:r w:rsidRPr="004B0290">
        <w:rPr>
          <w:b/>
        </w:rPr>
        <w:t>Part I: Health and Independence</w:t>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t xml:space="preserve">  1</w:t>
      </w:r>
      <w:r w:rsidR="008B6909">
        <w:rPr>
          <w:b/>
        </w:rPr>
        <w:t>1</w:t>
      </w:r>
    </w:p>
    <w:p w:rsidR="004B0290" w:rsidRPr="004B0290" w:rsidRDefault="004B0290" w:rsidP="00FA2C70">
      <w:pPr>
        <w:numPr>
          <w:ilvl w:val="0"/>
          <w:numId w:val="5"/>
        </w:numPr>
        <w:autoSpaceDE w:val="0"/>
        <w:autoSpaceDN w:val="0"/>
        <w:adjustRightInd w:val="0"/>
        <w:rPr>
          <w:b/>
        </w:rPr>
      </w:pPr>
      <w:r w:rsidRPr="004B0290">
        <w:rPr>
          <w:b/>
        </w:rPr>
        <w:t>Home and Community-Based Supportive Services</w:t>
      </w:r>
      <w:r w:rsidRPr="004B0290">
        <w:rPr>
          <w:b/>
        </w:rPr>
        <w:tab/>
      </w:r>
      <w:r w:rsidRPr="004B0290">
        <w:rPr>
          <w:b/>
        </w:rPr>
        <w:tab/>
        <w:t xml:space="preserve">      </w:t>
      </w:r>
      <w:r w:rsidRPr="004B0290">
        <w:rPr>
          <w:b/>
        </w:rPr>
        <w:tab/>
        <w:t xml:space="preserve">  1</w:t>
      </w:r>
      <w:r w:rsidR="008B6909">
        <w:rPr>
          <w:b/>
        </w:rPr>
        <w:t>2</w:t>
      </w:r>
      <w:r w:rsidRPr="004B0290">
        <w:rPr>
          <w:b/>
        </w:rPr>
        <w:t xml:space="preserve"> </w:t>
      </w:r>
      <w:r w:rsidRPr="004B0290">
        <w:rPr>
          <w:b/>
        </w:rPr>
        <w:tab/>
        <w:t xml:space="preserve"> </w:t>
      </w:r>
    </w:p>
    <w:p w:rsidR="004B0290" w:rsidRPr="004B0290" w:rsidRDefault="004B0290" w:rsidP="00FA2C70">
      <w:pPr>
        <w:numPr>
          <w:ilvl w:val="0"/>
          <w:numId w:val="5"/>
        </w:numPr>
        <w:autoSpaceDE w:val="0"/>
        <w:autoSpaceDN w:val="0"/>
        <w:adjustRightInd w:val="0"/>
        <w:rPr>
          <w:b/>
        </w:rPr>
      </w:pPr>
      <w:r w:rsidRPr="004B0290">
        <w:rPr>
          <w:b/>
        </w:rPr>
        <w:t>Nutrition Services</w:t>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t xml:space="preserve">  </w:t>
      </w:r>
      <w:r w:rsidRPr="004B0290">
        <w:rPr>
          <w:b/>
        </w:rPr>
        <w:tab/>
        <w:t xml:space="preserve">  1</w:t>
      </w:r>
      <w:r w:rsidR="008B6909">
        <w:rPr>
          <w:b/>
        </w:rPr>
        <w:t>4</w:t>
      </w:r>
      <w:r w:rsidRPr="004B0290">
        <w:rPr>
          <w:b/>
        </w:rPr>
        <w:tab/>
        <w:t xml:space="preserve"> </w:t>
      </w:r>
    </w:p>
    <w:p w:rsidR="004B0290" w:rsidRPr="004B0290" w:rsidRDefault="004B0290" w:rsidP="00FA2C70">
      <w:pPr>
        <w:numPr>
          <w:ilvl w:val="0"/>
          <w:numId w:val="5"/>
        </w:numPr>
        <w:autoSpaceDE w:val="0"/>
        <w:autoSpaceDN w:val="0"/>
        <w:adjustRightInd w:val="0"/>
        <w:rPr>
          <w:b/>
        </w:rPr>
      </w:pPr>
      <w:r w:rsidRPr="004B0290">
        <w:rPr>
          <w:b/>
        </w:rPr>
        <w:t>Preventive Health Services</w:t>
      </w:r>
      <w:r w:rsidRPr="004B0290">
        <w:rPr>
          <w:b/>
        </w:rPr>
        <w:tab/>
      </w:r>
      <w:r w:rsidRPr="004B0290">
        <w:rPr>
          <w:b/>
        </w:rPr>
        <w:tab/>
      </w:r>
      <w:r w:rsidRPr="004B0290">
        <w:rPr>
          <w:b/>
        </w:rPr>
        <w:tab/>
      </w:r>
      <w:r w:rsidRPr="004B0290">
        <w:rPr>
          <w:b/>
        </w:rPr>
        <w:tab/>
      </w:r>
      <w:r w:rsidRPr="004B0290">
        <w:rPr>
          <w:b/>
        </w:rPr>
        <w:tab/>
      </w:r>
      <w:r w:rsidRPr="004B0290">
        <w:rPr>
          <w:b/>
        </w:rPr>
        <w:tab/>
        <w:t xml:space="preserve">    </w:t>
      </w:r>
      <w:r w:rsidRPr="004B0290">
        <w:rPr>
          <w:b/>
        </w:rPr>
        <w:tab/>
        <w:t xml:space="preserve">  1</w:t>
      </w:r>
      <w:r w:rsidR="008B6909">
        <w:rPr>
          <w:b/>
        </w:rPr>
        <w:t>9</w:t>
      </w:r>
    </w:p>
    <w:p w:rsidR="004B0290" w:rsidRPr="004B0290" w:rsidRDefault="004B0290" w:rsidP="00FA2C70">
      <w:pPr>
        <w:numPr>
          <w:ilvl w:val="0"/>
          <w:numId w:val="5"/>
        </w:numPr>
        <w:autoSpaceDE w:val="0"/>
        <w:autoSpaceDN w:val="0"/>
        <w:adjustRightInd w:val="0"/>
        <w:rPr>
          <w:b/>
        </w:rPr>
      </w:pPr>
      <w:r w:rsidRPr="004B0290">
        <w:rPr>
          <w:b/>
        </w:rPr>
        <w:t>Chronic Disease Self-Management Program</w:t>
      </w:r>
      <w:r w:rsidRPr="004B0290">
        <w:rPr>
          <w:b/>
        </w:rPr>
        <w:tab/>
      </w:r>
      <w:r w:rsidRPr="004B0290">
        <w:rPr>
          <w:b/>
        </w:rPr>
        <w:tab/>
      </w:r>
      <w:r w:rsidRPr="004B0290">
        <w:rPr>
          <w:b/>
        </w:rPr>
        <w:tab/>
        <w:t xml:space="preserve">              </w:t>
      </w:r>
      <w:r w:rsidR="008B6909">
        <w:rPr>
          <w:b/>
        </w:rPr>
        <w:t>21</w:t>
      </w:r>
    </w:p>
    <w:p w:rsidR="004B0290" w:rsidRPr="004B0290" w:rsidRDefault="004B0290" w:rsidP="00FA2C70">
      <w:pPr>
        <w:numPr>
          <w:ilvl w:val="0"/>
          <w:numId w:val="5"/>
        </w:numPr>
        <w:autoSpaceDE w:val="0"/>
        <w:autoSpaceDN w:val="0"/>
        <w:adjustRightInd w:val="0"/>
        <w:rPr>
          <w:b/>
        </w:rPr>
      </w:pPr>
      <w:r w:rsidRPr="004B0290">
        <w:rPr>
          <w:b/>
        </w:rPr>
        <w:t>Behavioral Health</w:t>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t xml:space="preserve">  2</w:t>
      </w:r>
      <w:r w:rsidR="008B6909">
        <w:rPr>
          <w:b/>
        </w:rPr>
        <w:t>2</w:t>
      </w:r>
    </w:p>
    <w:p w:rsidR="004B0290" w:rsidRPr="004B0290" w:rsidRDefault="004B0290" w:rsidP="00FA2C70">
      <w:pPr>
        <w:numPr>
          <w:ilvl w:val="0"/>
          <w:numId w:val="5"/>
        </w:numPr>
        <w:autoSpaceDE w:val="0"/>
        <w:autoSpaceDN w:val="0"/>
        <w:adjustRightInd w:val="0"/>
        <w:rPr>
          <w:b/>
        </w:rPr>
      </w:pPr>
      <w:r w:rsidRPr="004B0290">
        <w:rPr>
          <w:b/>
        </w:rPr>
        <w:t>Falls Prevention</w:t>
      </w:r>
      <w:r w:rsidR="0068195E">
        <w:rPr>
          <w:b/>
        </w:rPr>
        <w:tab/>
      </w:r>
      <w:r w:rsidR="0068195E">
        <w:rPr>
          <w:b/>
        </w:rPr>
        <w:tab/>
      </w:r>
      <w:r w:rsidR="0068195E">
        <w:rPr>
          <w:b/>
        </w:rPr>
        <w:tab/>
      </w:r>
      <w:r w:rsidR="0068195E">
        <w:rPr>
          <w:b/>
        </w:rPr>
        <w:tab/>
      </w:r>
      <w:r w:rsidR="0068195E">
        <w:rPr>
          <w:b/>
        </w:rPr>
        <w:tab/>
      </w:r>
      <w:r w:rsidR="0068195E">
        <w:rPr>
          <w:b/>
        </w:rPr>
        <w:tab/>
      </w:r>
      <w:r w:rsidR="0068195E">
        <w:rPr>
          <w:b/>
        </w:rPr>
        <w:tab/>
      </w:r>
      <w:r w:rsidR="0068195E">
        <w:rPr>
          <w:b/>
        </w:rPr>
        <w:tab/>
        <w:t xml:space="preserve">  2</w:t>
      </w:r>
      <w:r w:rsidR="008B6909">
        <w:rPr>
          <w:b/>
        </w:rPr>
        <w:t>3</w:t>
      </w:r>
    </w:p>
    <w:p w:rsidR="004B0290" w:rsidRPr="004B0290" w:rsidRDefault="004B0290" w:rsidP="00FA2C70">
      <w:pPr>
        <w:numPr>
          <w:ilvl w:val="0"/>
          <w:numId w:val="5"/>
        </w:numPr>
        <w:autoSpaceDE w:val="0"/>
        <w:autoSpaceDN w:val="0"/>
        <w:adjustRightInd w:val="0"/>
        <w:rPr>
          <w:b/>
        </w:rPr>
      </w:pPr>
      <w:r w:rsidRPr="004B0290">
        <w:rPr>
          <w:b/>
        </w:rPr>
        <w:t>Caregiver Services</w:t>
      </w:r>
      <w:r w:rsidRPr="004B0290">
        <w:rPr>
          <w:b/>
        </w:rPr>
        <w:tab/>
      </w:r>
      <w:r w:rsidRPr="004B0290">
        <w:rPr>
          <w:b/>
        </w:rPr>
        <w:tab/>
      </w:r>
      <w:r w:rsidRPr="004B0290">
        <w:rPr>
          <w:b/>
        </w:rPr>
        <w:tab/>
      </w:r>
      <w:r w:rsidRPr="004B0290">
        <w:rPr>
          <w:b/>
        </w:rPr>
        <w:tab/>
      </w:r>
      <w:r w:rsidRPr="004B0290">
        <w:rPr>
          <w:b/>
        </w:rPr>
        <w:tab/>
      </w:r>
      <w:r w:rsidRPr="004B0290">
        <w:rPr>
          <w:b/>
        </w:rPr>
        <w:tab/>
      </w:r>
      <w:r w:rsidRPr="004B0290">
        <w:rPr>
          <w:b/>
        </w:rPr>
        <w:tab/>
        <w:t xml:space="preserve">              2</w:t>
      </w:r>
      <w:r w:rsidR="008B6909">
        <w:rPr>
          <w:b/>
        </w:rPr>
        <w:t>4</w:t>
      </w:r>
    </w:p>
    <w:p w:rsidR="004B0290" w:rsidRPr="004B0290" w:rsidRDefault="004B0290" w:rsidP="00FA2C70">
      <w:pPr>
        <w:numPr>
          <w:ilvl w:val="0"/>
          <w:numId w:val="5"/>
        </w:numPr>
        <w:autoSpaceDE w:val="0"/>
        <w:autoSpaceDN w:val="0"/>
        <w:adjustRightInd w:val="0"/>
        <w:rPr>
          <w:b/>
        </w:rPr>
      </w:pPr>
      <w:r w:rsidRPr="004B0290">
        <w:rPr>
          <w:b/>
          <w:bCs/>
        </w:rPr>
        <w:t>National Family Caregiver Support Program</w:t>
      </w:r>
      <w:r w:rsidRPr="004B0290">
        <w:rPr>
          <w:b/>
          <w:bCs/>
        </w:rPr>
        <w:tab/>
      </w:r>
      <w:r w:rsidRPr="004B0290">
        <w:rPr>
          <w:b/>
          <w:bCs/>
        </w:rPr>
        <w:tab/>
      </w:r>
      <w:r w:rsidRPr="004B0290">
        <w:rPr>
          <w:b/>
          <w:bCs/>
        </w:rPr>
        <w:tab/>
      </w:r>
      <w:r w:rsidRPr="004B0290">
        <w:rPr>
          <w:b/>
          <w:bCs/>
        </w:rPr>
        <w:tab/>
        <w:t xml:space="preserve">  2</w:t>
      </w:r>
      <w:r w:rsidR="008B6909">
        <w:rPr>
          <w:b/>
          <w:bCs/>
        </w:rPr>
        <w:t>5</w:t>
      </w:r>
    </w:p>
    <w:p w:rsidR="004B0290" w:rsidRPr="004B0290" w:rsidRDefault="004B0290" w:rsidP="00FA2C70">
      <w:pPr>
        <w:numPr>
          <w:ilvl w:val="0"/>
          <w:numId w:val="5"/>
        </w:numPr>
        <w:autoSpaceDE w:val="0"/>
        <w:autoSpaceDN w:val="0"/>
        <w:adjustRightInd w:val="0"/>
        <w:rPr>
          <w:b/>
        </w:rPr>
      </w:pPr>
      <w:r w:rsidRPr="004B0290">
        <w:rPr>
          <w:b/>
          <w:bCs/>
        </w:rPr>
        <w:t>Brain Health</w:t>
      </w:r>
      <w:r w:rsidR="0068195E">
        <w:rPr>
          <w:b/>
          <w:bCs/>
        </w:rPr>
        <w:tab/>
      </w:r>
      <w:r w:rsidR="0068195E">
        <w:rPr>
          <w:b/>
          <w:bCs/>
        </w:rPr>
        <w:tab/>
      </w:r>
      <w:r w:rsidR="0068195E">
        <w:rPr>
          <w:b/>
          <w:bCs/>
        </w:rPr>
        <w:tab/>
      </w:r>
      <w:r w:rsidR="0068195E">
        <w:rPr>
          <w:b/>
          <w:bCs/>
        </w:rPr>
        <w:tab/>
      </w:r>
      <w:r w:rsidR="0068195E">
        <w:rPr>
          <w:b/>
          <w:bCs/>
        </w:rPr>
        <w:tab/>
      </w:r>
      <w:r w:rsidR="0068195E">
        <w:rPr>
          <w:b/>
          <w:bCs/>
        </w:rPr>
        <w:tab/>
      </w:r>
      <w:r w:rsidR="0068195E">
        <w:rPr>
          <w:b/>
          <w:bCs/>
        </w:rPr>
        <w:tab/>
      </w:r>
      <w:r w:rsidR="0068195E">
        <w:rPr>
          <w:b/>
          <w:bCs/>
        </w:rPr>
        <w:tab/>
      </w:r>
      <w:r w:rsidR="0068195E">
        <w:rPr>
          <w:b/>
          <w:bCs/>
        </w:rPr>
        <w:tab/>
        <w:t xml:space="preserve">  2</w:t>
      </w:r>
      <w:r w:rsidR="008B6909">
        <w:rPr>
          <w:b/>
          <w:bCs/>
        </w:rPr>
        <w:t>8</w:t>
      </w:r>
    </w:p>
    <w:p w:rsidR="004B0290" w:rsidRPr="00634FD6" w:rsidRDefault="004B0290" w:rsidP="00FA2C70">
      <w:pPr>
        <w:numPr>
          <w:ilvl w:val="0"/>
          <w:numId w:val="5"/>
        </w:numPr>
        <w:autoSpaceDE w:val="0"/>
        <w:autoSpaceDN w:val="0"/>
        <w:adjustRightInd w:val="0"/>
        <w:rPr>
          <w:b/>
        </w:rPr>
      </w:pPr>
      <w:r w:rsidRPr="004B0290">
        <w:rPr>
          <w:b/>
          <w:bCs/>
        </w:rPr>
        <w:t>Alzheimer’s Disease Supportive Services Program</w:t>
      </w:r>
      <w:r w:rsidRPr="004B0290">
        <w:rPr>
          <w:b/>
          <w:bCs/>
        </w:rPr>
        <w:tab/>
      </w:r>
      <w:r w:rsidRPr="004B0290">
        <w:rPr>
          <w:b/>
          <w:bCs/>
        </w:rPr>
        <w:tab/>
      </w:r>
      <w:r w:rsidRPr="004B0290">
        <w:rPr>
          <w:b/>
          <w:bCs/>
        </w:rPr>
        <w:tab/>
        <w:t xml:space="preserve">  </w:t>
      </w:r>
      <w:r w:rsidR="0068195E">
        <w:rPr>
          <w:b/>
          <w:bCs/>
        </w:rPr>
        <w:t>2</w:t>
      </w:r>
      <w:r w:rsidR="008B6909">
        <w:rPr>
          <w:b/>
          <w:bCs/>
        </w:rPr>
        <w:t>9</w:t>
      </w:r>
    </w:p>
    <w:p w:rsidR="00634FD6" w:rsidRPr="004B0290" w:rsidRDefault="00634FD6" w:rsidP="00FA2C70">
      <w:pPr>
        <w:numPr>
          <w:ilvl w:val="0"/>
          <w:numId w:val="5"/>
        </w:numPr>
        <w:autoSpaceDE w:val="0"/>
        <w:autoSpaceDN w:val="0"/>
        <w:adjustRightInd w:val="0"/>
        <w:rPr>
          <w:b/>
        </w:rPr>
      </w:pPr>
      <w:r w:rsidRPr="00634FD6">
        <w:rPr>
          <w:b/>
        </w:rPr>
        <w:t>Alzheimer’s Disease Initiative – Specialized Supportive Services</w:t>
      </w:r>
      <w:r w:rsidR="008B6909">
        <w:rPr>
          <w:b/>
        </w:rPr>
        <w:tab/>
        <w:t xml:space="preserve">  30</w:t>
      </w:r>
    </w:p>
    <w:p w:rsidR="004B0290" w:rsidRPr="004B0290" w:rsidRDefault="004B0290" w:rsidP="004B0290">
      <w:pPr>
        <w:autoSpaceDE w:val="0"/>
        <w:autoSpaceDN w:val="0"/>
        <w:adjustRightInd w:val="0"/>
        <w:rPr>
          <w:b/>
        </w:rPr>
      </w:pPr>
    </w:p>
    <w:p w:rsidR="004B0290" w:rsidRPr="004B0290" w:rsidRDefault="004B0290" w:rsidP="004B0290">
      <w:pPr>
        <w:autoSpaceDE w:val="0"/>
        <w:autoSpaceDN w:val="0"/>
        <w:adjustRightInd w:val="0"/>
        <w:rPr>
          <w:b/>
        </w:rPr>
      </w:pPr>
      <w:r w:rsidRPr="004B0290">
        <w:rPr>
          <w:b/>
        </w:rPr>
        <w:t>Part II: Older American Indians, Alaska Natives &amp; Native Hawaiians</w:t>
      </w:r>
      <w:r w:rsidRPr="004B0290">
        <w:rPr>
          <w:b/>
        </w:rPr>
        <w:tab/>
      </w:r>
      <w:r w:rsidRPr="004B0290">
        <w:rPr>
          <w:b/>
        </w:rPr>
        <w:tab/>
        <w:t xml:space="preserve">  </w:t>
      </w:r>
      <w:r w:rsidR="008B6909">
        <w:rPr>
          <w:b/>
        </w:rPr>
        <w:t>32</w:t>
      </w:r>
    </w:p>
    <w:p w:rsidR="004B0290" w:rsidRPr="004B0290" w:rsidRDefault="004B0290" w:rsidP="00FA2C70">
      <w:pPr>
        <w:numPr>
          <w:ilvl w:val="0"/>
          <w:numId w:val="9"/>
        </w:numPr>
        <w:autoSpaceDE w:val="0"/>
        <w:autoSpaceDN w:val="0"/>
        <w:adjustRightInd w:val="0"/>
        <w:contextualSpacing/>
        <w:rPr>
          <w:b/>
        </w:rPr>
      </w:pPr>
      <w:r w:rsidRPr="004B0290">
        <w:rPr>
          <w:b/>
        </w:rPr>
        <w:t>Nutrition an</w:t>
      </w:r>
      <w:r w:rsidR="00B4732E">
        <w:rPr>
          <w:b/>
        </w:rPr>
        <w:t>d Supportive Services</w:t>
      </w:r>
      <w:r w:rsidR="00B4732E">
        <w:rPr>
          <w:b/>
        </w:rPr>
        <w:tab/>
      </w:r>
      <w:r w:rsidR="00B4732E">
        <w:rPr>
          <w:b/>
        </w:rPr>
        <w:tab/>
      </w:r>
      <w:r w:rsidR="00B4732E">
        <w:rPr>
          <w:b/>
        </w:rPr>
        <w:tab/>
      </w:r>
      <w:r w:rsidR="00B4732E">
        <w:rPr>
          <w:b/>
        </w:rPr>
        <w:tab/>
      </w:r>
      <w:r w:rsidR="00B4732E">
        <w:rPr>
          <w:b/>
        </w:rPr>
        <w:tab/>
        <w:t xml:space="preserve">  </w:t>
      </w:r>
      <w:r w:rsidR="00B4732E">
        <w:rPr>
          <w:b/>
        </w:rPr>
        <w:tab/>
        <w:t xml:space="preserve">  </w:t>
      </w:r>
      <w:r w:rsidR="008B6909">
        <w:rPr>
          <w:b/>
        </w:rPr>
        <w:t>32</w:t>
      </w:r>
    </w:p>
    <w:p w:rsidR="004B0290" w:rsidRPr="00676875" w:rsidRDefault="004B0290" w:rsidP="004B0290">
      <w:pPr>
        <w:numPr>
          <w:ilvl w:val="0"/>
          <w:numId w:val="9"/>
        </w:numPr>
        <w:autoSpaceDE w:val="0"/>
        <w:autoSpaceDN w:val="0"/>
        <w:adjustRightInd w:val="0"/>
        <w:contextualSpacing/>
        <w:rPr>
          <w:b/>
        </w:rPr>
      </w:pPr>
      <w:r w:rsidRPr="00676875">
        <w:rPr>
          <w:b/>
        </w:rPr>
        <w:t>Caregiver Support Services</w:t>
      </w:r>
      <w:r w:rsidRPr="00676875">
        <w:rPr>
          <w:b/>
        </w:rPr>
        <w:tab/>
      </w:r>
      <w:r w:rsidRPr="00676875">
        <w:rPr>
          <w:b/>
        </w:rPr>
        <w:tab/>
      </w:r>
      <w:r w:rsidRPr="00676875">
        <w:rPr>
          <w:b/>
        </w:rPr>
        <w:tab/>
      </w:r>
      <w:r w:rsidRPr="00676875">
        <w:rPr>
          <w:b/>
        </w:rPr>
        <w:tab/>
      </w:r>
      <w:r w:rsidRPr="00676875">
        <w:rPr>
          <w:b/>
        </w:rPr>
        <w:tab/>
      </w:r>
      <w:r w:rsidRPr="00676875">
        <w:rPr>
          <w:b/>
        </w:rPr>
        <w:tab/>
      </w:r>
      <w:r w:rsidRPr="00676875">
        <w:rPr>
          <w:b/>
        </w:rPr>
        <w:tab/>
        <w:t xml:space="preserve">  3</w:t>
      </w:r>
      <w:r w:rsidR="008B6909">
        <w:rPr>
          <w:b/>
        </w:rPr>
        <w:t>3</w:t>
      </w:r>
      <w:r w:rsidRPr="00676875">
        <w:rPr>
          <w:b/>
        </w:rPr>
        <w:tab/>
      </w:r>
      <w:r w:rsidRPr="00676875">
        <w:rPr>
          <w:b/>
        </w:rPr>
        <w:tab/>
      </w:r>
      <w:r w:rsidRPr="00676875">
        <w:rPr>
          <w:b/>
        </w:rPr>
        <w:tab/>
      </w:r>
      <w:r w:rsidRPr="00676875">
        <w:rPr>
          <w:b/>
        </w:rPr>
        <w:tab/>
      </w:r>
      <w:r w:rsidRPr="00676875">
        <w:rPr>
          <w:b/>
        </w:rPr>
        <w:tab/>
      </w:r>
    </w:p>
    <w:p w:rsidR="004B0290" w:rsidRPr="004B0290" w:rsidRDefault="004B0290" w:rsidP="004B0290">
      <w:pPr>
        <w:autoSpaceDE w:val="0"/>
        <w:autoSpaceDN w:val="0"/>
        <w:adjustRightInd w:val="0"/>
        <w:rPr>
          <w:b/>
        </w:rPr>
      </w:pPr>
      <w:r w:rsidRPr="004B0290">
        <w:rPr>
          <w:b/>
        </w:rPr>
        <w:t xml:space="preserve">Part III: </w:t>
      </w:r>
      <w:r w:rsidR="00280B1D">
        <w:rPr>
          <w:b/>
        </w:rPr>
        <w:t>Elder Rights</w:t>
      </w:r>
      <w:r w:rsidR="00280B1D">
        <w:rPr>
          <w:b/>
        </w:rPr>
        <w:tab/>
      </w:r>
      <w:r w:rsidR="00280B1D">
        <w:rPr>
          <w:b/>
        </w:rPr>
        <w:tab/>
      </w:r>
      <w:r w:rsidR="00280B1D">
        <w:rPr>
          <w:b/>
        </w:rPr>
        <w:tab/>
      </w:r>
      <w:r w:rsidR="00280B1D">
        <w:rPr>
          <w:b/>
        </w:rPr>
        <w:tab/>
      </w:r>
      <w:r w:rsidRPr="004B0290">
        <w:rPr>
          <w:b/>
        </w:rPr>
        <w:tab/>
      </w:r>
      <w:r w:rsidRPr="004B0290">
        <w:rPr>
          <w:b/>
        </w:rPr>
        <w:tab/>
      </w:r>
      <w:r w:rsidRPr="004B0290">
        <w:rPr>
          <w:b/>
        </w:rPr>
        <w:tab/>
        <w:t xml:space="preserve">              3</w:t>
      </w:r>
      <w:r w:rsidR="008B6909">
        <w:rPr>
          <w:b/>
        </w:rPr>
        <w:t>5</w:t>
      </w:r>
      <w:r w:rsidRPr="004B0290">
        <w:rPr>
          <w:b/>
        </w:rPr>
        <w:tab/>
      </w:r>
    </w:p>
    <w:p w:rsidR="004B0290" w:rsidRPr="004B0290" w:rsidRDefault="004B0290" w:rsidP="00FA2C70">
      <w:pPr>
        <w:numPr>
          <w:ilvl w:val="0"/>
          <w:numId w:val="5"/>
        </w:numPr>
        <w:autoSpaceDE w:val="0"/>
        <w:autoSpaceDN w:val="0"/>
        <w:adjustRightInd w:val="0"/>
        <w:rPr>
          <w:b/>
          <w:iCs/>
        </w:rPr>
      </w:pPr>
      <w:r w:rsidRPr="004B0290">
        <w:rPr>
          <w:b/>
        </w:rPr>
        <w:t>Prevention of Elder Abuse &amp; Neglect</w:t>
      </w:r>
      <w:r w:rsidRPr="004B0290">
        <w:rPr>
          <w:b/>
        </w:rPr>
        <w:tab/>
      </w:r>
      <w:r w:rsidRPr="004B0290">
        <w:rPr>
          <w:b/>
        </w:rPr>
        <w:tab/>
      </w:r>
      <w:r w:rsidRPr="004B0290">
        <w:rPr>
          <w:b/>
        </w:rPr>
        <w:tab/>
      </w:r>
      <w:r w:rsidRPr="004B0290">
        <w:rPr>
          <w:b/>
        </w:rPr>
        <w:tab/>
      </w:r>
      <w:r w:rsidRPr="004B0290">
        <w:rPr>
          <w:b/>
        </w:rPr>
        <w:tab/>
        <w:t xml:space="preserve">  3</w:t>
      </w:r>
      <w:r w:rsidR="008B6909">
        <w:rPr>
          <w:b/>
        </w:rPr>
        <w:t>5</w:t>
      </w:r>
    </w:p>
    <w:p w:rsidR="004B0290" w:rsidRPr="004B0290" w:rsidRDefault="004B0290" w:rsidP="00FA2C70">
      <w:pPr>
        <w:numPr>
          <w:ilvl w:val="0"/>
          <w:numId w:val="5"/>
        </w:numPr>
        <w:autoSpaceDE w:val="0"/>
        <w:autoSpaceDN w:val="0"/>
        <w:adjustRightInd w:val="0"/>
        <w:rPr>
          <w:b/>
          <w:iCs/>
        </w:rPr>
      </w:pPr>
      <w:r w:rsidRPr="004B0290">
        <w:rPr>
          <w:b/>
          <w:iCs/>
        </w:rPr>
        <w:t>National Legal Assistance and Support Projects</w:t>
      </w:r>
      <w:r w:rsidRPr="004B0290">
        <w:rPr>
          <w:b/>
          <w:iCs/>
        </w:rPr>
        <w:tab/>
      </w:r>
      <w:r w:rsidRPr="004B0290">
        <w:rPr>
          <w:b/>
          <w:iCs/>
        </w:rPr>
        <w:tab/>
      </w:r>
      <w:r w:rsidRPr="004B0290">
        <w:rPr>
          <w:b/>
          <w:iCs/>
        </w:rPr>
        <w:tab/>
      </w:r>
      <w:r w:rsidRPr="004B0290">
        <w:rPr>
          <w:b/>
          <w:iCs/>
        </w:rPr>
        <w:tab/>
        <w:t xml:space="preserve">  3</w:t>
      </w:r>
      <w:r w:rsidR="008B6909">
        <w:rPr>
          <w:b/>
          <w:iCs/>
        </w:rPr>
        <w:t>7</w:t>
      </w:r>
    </w:p>
    <w:p w:rsidR="004B0290" w:rsidRPr="004B0290" w:rsidRDefault="004B0290" w:rsidP="00FA2C70">
      <w:pPr>
        <w:numPr>
          <w:ilvl w:val="0"/>
          <w:numId w:val="5"/>
        </w:numPr>
        <w:rPr>
          <w:b/>
          <w:iCs/>
        </w:rPr>
      </w:pPr>
      <w:r w:rsidRPr="004B0290">
        <w:rPr>
          <w:b/>
          <w:iCs/>
        </w:rPr>
        <w:t>Model Approaches to Statewide Legal Assistance Systems</w:t>
      </w:r>
      <w:r w:rsidRPr="004B0290">
        <w:rPr>
          <w:b/>
          <w:iCs/>
        </w:rPr>
        <w:tab/>
      </w:r>
      <w:r w:rsidRPr="004B0290">
        <w:rPr>
          <w:b/>
          <w:iCs/>
        </w:rPr>
        <w:tab/>
        <w:t xml:space="preserve">  </w:t>
      </w:r>
      <w:r w:rsidR="0068195E">
        <w:rPr>
          <w:b/>
          <w:iCs/>
        </w:rPr>
        <w:t>3</w:t>
      </w:r>
      <w:r w:rsidR="008B6909">
        <w:rPr>
          <w:b/>
          <w:iCs/>
        </w:rPr>
        <w:t>8</w:t>
      </w:r>
    </w:p>
    <w:p w:rsidR="004B0290" w:rsidRPr="004B0290" w:rsidRDefault="004B0290" w:rsidP="00FA2C70">
      <w:pPr>
        <w:numPr>
          <w:ilvl w:val="0"/>
          <w:numId w:val="5"/>
        </w:numPr>
        <w:autoSpaceDE w:val="0"/>
        <w:autoSpaceDN w:val="0"/>
        <w:adjustRightInd w:val="0"/>
        <w:rPr>
          <w:b/>
        </w:rPr>
      </w:pPr>
      <w:r w:rsidRPr="004B0290">
        <w:rPr>
          <w:b/>
        </w:rPr>
        <w:t>Pension Counseling and Information</w:t>
      </w:r>
      <w:r w:rsidRPr="004B0290">
        <w:rPr>
          <w:b/>
        </w:rPr>
        <w:tab/>
      </w:r>
      <w:r w:rsidRPr="004B0290">
        <w:rPr>
          <w:b/>
        </w:rPr>
        <w:tab/>
      </w:r>
      <w:r w:rsidRPr="004B0290">
        <w:rPr>
          <w:b/>
        </w:rPr>
        <w:tab/>
      </w:r>
      <w:r w:rsidRPr="004B0290">
        <w:rPr>
          <w:b/>
        </w:rPr>
        <w:tab/>
      </w:r>
      <w:r w:rsidRPr="004B0290">
        <w:rPr>
          <w:b/>
        </w:rPr>
        <w:tab/>
        <w:t xml:space="preserve">  </w:t>
      </w:r>
      <w:r w:rsidR="0068195E">
        <w:rPr>
          <w:b/>
        </w:rPr>
        <w:t>3</w:t>
      </w:r>
      <w:r w:rsidR="008B6909">
        <w:rPr>
          <w:b/>
        </w:rPr>
        <w:t>9</w:t>
      </w:r>
    </w:p>
    <w:p w:rsidR="004B0290" w:rsidRPr="004B0290" w:rsidRDefault="004B0290" w:rsidP="00FA2C70">
      <w:pPr>
        <w:numPr>
          <w:ilvl w:val="0"/>
          <w:numId w:val="5"/>
        </w:numPr>
        <w:autoSpaceDE w:val="0"/>
        <w:autoSpaceDN w:val="0"/>
        <w:adjustRightInd w:val="0"/>
        <w:rPr>
          <w:b/>
        </w:rPr>
      </w:pPr>
      <w:r w:rsidRPr="004B0290">
        <w:rPr>
          <w:b/>
        </w:rPr>
        <w:t>Long-Ter</w:t>
      </w:r>
      <w:r w:rsidR="00B4732E">
        <w:rPr>
          <w:b/>
        </w:rPr>
        <w:t>m Care Ombudsman Program</w:t>
      </w:r>
      <w:r w:rsidR="00B4732E">
        <w:rPr>
          <w:b/>
        </w:rPr>
        <w:tab/>
      </w:r>
      <w:r w:rsidR="00B4732E">
        <w:rPr>
          <w:b/>
        </w:rPr>
        <w:tab/>
      </w:r>
      <w:r w:rsidR="00B4732E">
        <w:rPr>
          <w:b/>
        </w:rPr>
        <w:tab/>
      </w:r>
      <w:r w:rsidR="00B4732E">
        <w:rPr>
          <w:b/>
        </w:rPr>
        <w:tab/>
      </w:r>
      <w:r w:rsidR="00B4732E">
        <w:rPr>
          <w:b/>
        </w:rPr>
        <w:tab/>
        <w:t xml:space="preserve">  </w:t>
      </w:r>
      <w:r w:rsidR="008B6909">
        <w:rPr>
          <w:b/>
        </w:rPr>
        <w:t>42</w:t>
      </w:r>
    </w:p>
    <w:p w:rsidR="004B0290" w:rsidRPr="004B0290" w:rsidRDefault="004B0290" w:rsidP="004B0290">
      <w:pPr>
        <w:autoSpaceDE w:val="0"/>
        <w:autoSpaceDN w:val="0"/>
        <w:adjustRightInd w:val="0"/>
        <w:rPr>
          <w:b/>
        </w:rPr>
      </w:pPr>
    </w:p>
    <w:p w:rsidR="004B0290" w:rsidRPr="004B0290" w:rsidRDefault="004B0290" w:rsidP="004B0290">
      <w:pPr>
        <w:autoSpaceDE w:val="0"/>
        <w:autoSpaceDN w:val="0"/>
        <w:adjustRightInd w:val="0"/>
        <w:rPr>
          <w:b/>
        </w:rPr>
      </w:pPr>
      <w:r w:rsidRPr="004B0290">
        <w:rPr>
          <w:b/>
        </w:rPr>
        <w:t>Part IV: Supporting the National Aging Services Network</w:t>
      </w:r>
      <w:r w:rsidRPr="004B0290">
        <w:rPr>
          <w:b/>
        </w:rPr>
        <w:tab/>
      </w:r>
      <w:r w:rsidRPr="004B0290">
        <w:rPr>
          <w:b/>
        </w:rPr>
        <w:tab/>
        <w:t xml:space="preserve">              </w:t>
      </w:r>
      <w:r w:rsidR="008B6909">
        <w:rPr>
          <w:b/>
        </w:rPr>
        <w:t>50</w:t>
      </w:r>
    </w:p>
    <w:p w:rsidR="004B0290" w:rsidRPr="004B0290" w:rsidRDefault="004B0290" w:rsidP="00FA2C70">
      <w:pPr>
        <w:numPr>
          <w:ilvl w:val="0"/>
          <w:numId w:val="6"/>
        </w:numPr>
        <w:autoSpaceDE w:val="0"/>
        <w:autoSpaceDN w:val="0"/>
        <w:adjustRightInd w:val="0"/>
        <w:rPr>
          <w:b/>
        </w:rPr>
      </w:pPr>
      <w:r w:rsidRPr="004B0290">
        <w:rPr>
          <w:b/>
        </w:rPr>
        <w:t>Aging and Disability Resource Centers</w:t>
      </w:r>
      <w:r w:rsidRPr="004B0290">
        <w:rPr>
          <w:b/>
        </w:rPr>
        <w:tab/>
      </w:r>
      <w:r w:rsidRPr="004B0290">
        <w:rPr>
          <w:b/>
        </w:rPr>
        <w:tab/>
      </w:r>
      <w:r w:rsidRPr="004B0290">
        <w:rPr>
          <w:b/>
        </w:rPr>
        <w:tab/>
      </w:r>
      <w:r w:rsidRPr="004B0290">
        <w:rPr>
          <w:b/>
        </w:rPr>
        <w:tab/>
      </w:r>
      <w:r w:rsidRPr="004B0290">
        <w:rPr>
          <w:b/>
        </w:rPr>
        <w:tab/>
        <w:t xml:space="preserve">  </w:t>
      </w:r>
      <w:r w:rsidR="008B6909">
        <w:rPr>
          <w:b/>
        </w:rPr>
        <w:t>50</w:t>
      </w:r>
    </w:p>
    <w:p w:rsidR="004B0290" w:rsidRPr="004B0290" w:rsidRDefault="004B0290" w:rsidP="00FA2C70">
      <w:pPr>
        <w:numPr>
          <w:ilvl w:val="0"/>
          <w:numId w:val="6"/>
        </w:numPr>
        <w:autoSpaceDE w:val="0"/>
        <w:autoSpaceDN w:val="0"/>
        <w:adjustRightInd w:val="0"/>
        <w:rPr>
          <w:b/>
        </w:rPr>
      </w:pPr>
      <w:r w:rsidRPr="004B0290">
        <w:rPr>
          <w:b/>
        </w:rPr>
        <w:t>Aging Network Support Program Activities</w:t>
      </w:r>
      <w:r w:rsidRPr="004B0290">
        <w:rPr>
          <w:b/>
        </w:rPr>
        <w:tab/>
      </w:r>
      <w:r w:rsidRPr="004B0290">
        <w:rPr>
          <w:b/>
        </w:rPr>
        <w:tab/>
        <w:t xml:space="preserve">    </w:t>
      </w:r>
      <w:r w:rsidRPr="004B0290">
        <w:rPr>
          <w:b/>
        </w:rPr>
        <w:tab/>
      </w:r>
      <w:r w:rsidRPr="004B0290">
        <w:rPr>
          <w:b/>
        </w:rPr>
        <w:tab/>
        <w:t xml:space="preserve">  </w:t>
      </w:r>
      <w:r w:rsidR="008B6909">
        <w:rPr>
          <w:b/>
        </w:rPr>
        <w:t>53</w:t>
      </w:r>
    </w:p>
    <w:p w:rsidR="004B0290" w:rsidRPr="004B0290" w:rsidRDefault="004B0290" w:rsidP="004B0290">
      <w:pPr>
        <w:autoSpaceDE w:val="0"/>
        <w:autoSpaceDN w:val="0"/>
        <w:adjustRightInd w:val="0"/>
        <w:rPr>
          <w:b/>
          <w:bCs/>
        </w:rPr>
      </w:pPr>
    </w:p>
    <w:p w:rsidR="004B0290" w:rsidRPr="004B0290" w:rsidRDefault="004B0290" w:rsidP="004B0290">
      <w:pPr>
        <w:rPr>
          <w:b/>
        </w:rPr>
      </w:pPr>
      <w:r w:rsidRPr="004B0290">
        <w:rPr>
          <w:b/>
        </w:rPr>
        <w:t>Appendix:   Formula Grant Funding Allocation by</w:t>
      </w:r>
      <w:r w:rsidRPr="004B0290">
        <w:rPr>
          <w:b/>
        </w:rPr>
        <w:tab/>
      </w:r>
      <w:r w:rsidRPr="004B0290">
        <w:rPr>
          <w:b/>
        </w:rPr>
        <w:tab/>
      </w:r>
      <w:r w:rsidRPr="004B0290">
        <w:rPr>
          <w:b/>
        </w:rPr>
        <w:tab/>
        <w:t xml:space="preserve">         </w:t>
      </w:r>
      <w:r w:rsidRPr="004B0290">
        <w:rPr>
          <w:b/>
        </w:rPr>
        <w:tab/>
        <w:t xml:space="preserve">  </w:t>
      </w:r>
      <w:r w:rsidR="008B6909">
        <w:rPr>
          <w:b/>
        </w:rPr>
        <w:t>56</w:t>
      </w:r>
    </w:p>
    <w:p w:rsidR="004B0290" w:rsidRPr="004B0290" w:rsidRDefault="004B0290" w:rsidP="004B0290">
      <w:pPr>
        <w:rPr>
          <w:b/>
          <w:sz w:val="32"/>
          <w:szCs w:val="32"/>
        </w:rPr>
      </w:pPr>
      <w:r w:rsidRPr="004B0290">
        <w:rPr>
          <w:b/>
        </w:rPr>
        <w:tab/>
        <w:t xml:space="preserve">         State, Territory and Tribal Organization</w:t>
      </w:r>
    </w:p>
    <w:p w:rsidR="004B0290" w:rsidRPr="004B0290" w:rsidRDefault="004B0290" w:rsidP="004B0290">
      <w:pPr>
        <w:spacing w:line="276" w:lineRule="auto"/>
        <w:contextualSpacing/>
        <w:jc w:val="center"/>
      </w:pPr>
    </w:p>
    <w:p w:rsidR="004B0290" w:rsidRPr="004B0290" w:rsidRDefault="004B0290" w:rsidP="004B0290">
      <w:pPr>
        <w:spacing w:line="276" w:lineRule="auto"/>
        <w:contextualSpacing/>
        <w:jc w:val="center"/>
      </w:pPr>
    </w:p>
    <w:p w:rsidR="000E1ACE" w:rsidRPr="000E1ACE" w:rsidRDefault="004B0290" w:rsidP="000E1ACE">
      <w:pPr>
        <w:rPr>
          <w:bCs/>
          <w:szCs w:val="28"/>
        </w:rPr>
      </w:pPr>
      <w:r>
        <w:rPr>
          <w:bCs/>
          <w:szCs w:val="28"/>
        </w:rPr>
        <w:br w:type="page"/>
      </w:r>
      <w:r w:rsidR="000E1ACE" w:rsidRPr="000E1ACE">
        <w:rPr>
          <w:bCs/>
          <w:szCs w:val="28"/>
        </w:rPr>
        <w:lastRenderedPageBreak/>
        <w:t> </w:t>
      </w: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rPr>
          <w:bCs/>
          <w:szCs w:val="28"/>
        </w:rPr>
      </w:pPr>
    </w:p>
    <w:p w:rsidR="000E1ACE" w:rsidRPr="000E1ACE" w:rsidRDefault="000E1ACE" w:rsidP="000E1ACE">
      <w:pPr>
        <w:jc w:val="center"/>
        <w:rPr>
          <w:b/>
          <w:bCs/>
          <w:szCs w:val="28"/>
        </w:rPr>
      </w:pPr>
      <w:r w:rsidRPr="000E1ACE">
        <w:rPr>
          <w:b/>
          <w:bCs/>
          <w:szCs w:val="28"/>
        </w:rPr>
        <w:t>THIS PAGE INTENTIONALLY LEFT BLANK</w:t>
      </w:r>
      <w:r w:rsidRPr="000E1ACE">
        <w:rPr>
          <w:b/>
          <w:bCs/>
          <w:szCs w:val="28"/>
        </w:rPr>
        <w:br w:type="page"/>
      </w:r>
    </w:p>
    <w:p w:rsidR="00C730B2" w:rsidRPr="00E0192D" w:rsidRDefault="00ED7786" w:rsidP="00EE0452">
      <w:pPr>
        <w:pStyle w:val="Heading1"/>
        <w:rPr>
          <w:bCs w:val="0"/>
          <w:szCs w:val="28"/>
        </w:rPr>
      </w:pPr>
      <w:r w:rsidRPr="00E0192D">
        <w:rPr>
          <w:bCs w:val="0"/>
          <w:szCs w:val="28"/>
        </w:rPr>
        <w:lastRenderedPageBreak/>
        <w:t>EXECUTIVE SUMMARY</w:t>
      </w:r>
      <w:bookmarkEnd w:id="2"/>
    </w:p>
    <w:p w:rsidR="00ED7786" w:rsidRPr="0004723E" w:rsidRDefault="00ED7786" w:rsidP="00ED7786">
      <w:pPr>
        <w:jc w:val="center"/>
      </w:pPr>
    </w:p>
    <w:p w:rsidR="00C730B2" w:rsidRPr="0004723E" w:rsidRDefault="00C730B2" w:rsidP="00C730B2">
      <w:pPr>
        <w:pStyle w:val="BodyText"/>
      </w:pPr>
      <w:r w:rsidRPr="0004723E">
        <w:t>AoA’s core programs, authorized under the Older Americans Act (OAA</w:t>
      </w:r>
      <w:r w:rsidR="00F85B0E">
        <w:t>)</w:t>
      </w:r>
      <w:r w:rsidRPr="0004723E">
        <w:t xml:space="preserve">, help </w:t>
      </w:r>
      <w:r w:rsidR="00286BE0">
        <w:t xml:space="preserve">people choose to remain in their homes and communities </w:t>
      </w:r>
      <w:r w:rsidR="00E84B55">
        <w:t xml:space="preserve">for as long as possible. </w:t>
      </w:r>
      <w:r w:rsidR="00F85B0E" w:rsidRPr="00F85B0E">
        <w:t xml:space="preserve">These services complement </w:t>
      </w:r>
      <w:r w:rsidR="00EF0B36">
        <w:t>efforts of the nation’s public health networks</w:t>
      </w:r>
      <w:r w:rsidR="000B0EB1">
        <w:t>,</w:t>
      </w:r>
      <w:r w:rsidR="00EF0B36">
        <w:t xml:space="preserve"> as well as </w:t>
      </w:r>
      <w:r w:rsidR="00F85B0E" w:rsidRPr="00F85B0E">
        <w:t>existing medical and health care systems</w:t>
      </w:r>
      <w:r w:rsidR="000B0EB1">
        <w:t>,</w:t>
      </w:r>
      <w:r w:rsidR="00346836">
        <w:t xml:space="preserve"> </w:t>
      </w:r>
      <w:r w:rsidR="00F85B0E" w:rsidRPr="00F85B0E">
        <w:t>and support some of life’s</w:t>
      </w:r>
      <w:r w:rsidR="00F85B0E" w:rsidRPr="00F85B0E">
        <w:rPr>
          <w:b/>
          <w:bCs/>
        </w:rPr>
        <w:t xml:space="preserve"> </w:t>
      </w:r>
      <w:r w:rsidR="00F85B0E" w:rsidRPr="00F85B0E">
        <w:t xml:space="preserve">most basic functions, such as bathing </w:t>
      </w:r>
      <w:r w:rsidR="00286BE0">
        <w:t>and</w:t>
      </w:r>
      <w:r w:rsidR="00F85B0E" w:rsidRPr="00F85B0E">
        <w:t xml:space="preserve"> preparing meals. These programs also support family caregivers</w:t>
      </w:r>
      <w:r w:rsidR="00BF52C3">
        <w:t>;</w:t>
      </w:r>
      <w:r w:rsidR="00F85B0E" w:rsidRPr="00F85B0E">
        <w:t xml:space="preserve"> address issues of exploitation, neglect</w:t>
      </w:r>
      <w:r w:rsidR="00BF52C3">
        <w:t>,</w:t>
      </w:r>
      <w:r w:rsidR="00F85B0E" w:rsidRPr="00F85B0E">
        <w:t xml:space="preserve"> and abuse of older adults</w:t>
      </w:r>
      <w:r w:rsidR="00BF52C3">
        <w:t>;</w:t>
      </w:r>
      <w:r w:rsidR="00BF52C3" w:rsidRPr="00F85B0E">
        <w:t xml:space="preserve"> </w:t>
      </w:r>
      <w:r w:rsidR="00F85B0E" w:rsidRPr="00F85B0E">
        <w:t>and adapt services to the needs of Native Americans</w:t>
      </w:r>
      <w:r w:rsidR="00F85B0E" w:rsidRPr="00D846BA">
        <w:t xml:space="preserve">.  </w:t>
      </w:r>
      <w:r w:rsidRPr="00BE4FF0">
        <w:t>The most recent data available show that</w:t>
      </w:r>
      <w:r w:rsidR="00E84B55">
        <w:t>, in FY 2015,</w:t>
      </w:r>
      <w:r w:rsidRPr="00BE4FF0">
        <w:t xml:space="preserve"> AoA and </w:t>
      </w:r>
      <w:r w:rsidR="00E84B55">
        <w:t>the</w:t>
      </w:r>
      <w:r w:rsidRPr="00BE4FF0">
        <w:t xml:space="preserve"> national</w:t>
      </w:r>
      <w:r w:rsidR="00E84B55">
        <w:t xml:space="preserve"> aging services</w:t>
      </w:r>
      <w:r w:rsidRPr="00BE4FF0">
        <w:t xml:space="preserve"> network rendered direct services to</w:t>
      </w:r>
      <w:r w:rsidR="00C920E8" w:rsidRPr="00BE4FF0">
        <w:t xml:space="preserve"> nearly</w:t>
      </w:r>
      <w:r w:rsidRPr="00BE4FF0">
        <w:t xml:space="preserve"> </w:t>
      </w:r>
      <w:r w:rsidR="00150425" w:rsidRPr="00BE4FF0">
        <w:t>11</w:t>
      </w:r>
      <w:r w:rsidRPr="00BE4FF0">
        <w:t xml:space="preserve"> million individuals age</w:t>
      </w:r>
      <w:r w:rsidR="00E84B55">
        <w:t xml:space="preserve"> 60 </w:t>
      </w:r>
      <w:r w:rsidRPr="00BE4FF0">
        <w:t>and over (</w:t>
      </w:r>
      <w:r w:rsidR="00E84B55">
        <w:t>one</w:t>
      </w:r>
      <w:r w:rsidR="007872FB" w:rsidRPr="00BE4FF0">
        <w:t xml:space="preserve"> out of every </w:t>
      </w:r>
      <w:r w:rsidR="00E84B55">
        <w:t>six</w:t>
      </w:r>
      <w:r w:rsidR="007872FB" w:rsidRPr="00BE4FF0">
        <w:t xml:space="preserve"> older adults</w:t>
      </w:r>
      <w:r w:rsidRPr="00BE4FF0">
        <w:t xml:space="preserve">), including </w:t>
      </w:r>
      <w:r w:rsidR="001B00DA" w:rsidRPr="00BE4FF0">
        <w:t>nearly</w:t>
      </w:r>
      <w:r w:rsidRPr="00BE4FF0">
        <w:t xml:space="preserve"> three million clients who received intensive in-home services.</w:t>
      </w:r>
      <w:r w:rsidR="00E85B6C" w:rsidRPr="00BE4FF0">
        <w:rPr>
          <w:rStyle w:val="FootnoteReference"/>
        </w:rPr>
        <w:footnoteReference w:id="4"/>
      </w:r>
      <w:r w:rsidRPr="00D846BA">
        <w:t xml:space="preserve"> Critical supports, such as respite care and a peer support network, were provided to </w:t>
      </w:r>
      <w:r w:rsidR="00D87407">
        <w:t>over 700,000</w:t>
      </w:r>
      <w:r w:rsidRPr="00D846BA">
        <w:t xml:space="preserve"> caregivers.</w:t>
      </w:r>
      <w:r w:rsidR="00D846BA">
        <w:rPr>
          <w:rStyle w:val="FootnoteReference"/>
        </w:rPr>
        <w:footnoteReference w:id="5"/>
      </w:r>
    </w:p>
    <w:p w:rsidR="00C730B2" w:rsidRPr="0004723E" w:rsidRDefault="00C730B2" w:rsidP="00C730B2">
      <w:pPr>
        <w:pStyle w:val="BodyText"/>
      </w:pPr>
    </w:p>
    <w:p w:rsidR="00017FF3" w:rsidRPr="00294CC1" w:rsidRDefault="00BB6A94" w:rsidP="00D64924">
      <w:pPr>
        <w:pStyle w:val="Default"/>
        <w:contextualSpacing/>
        <w:jc w:val="center"/>
        <w:rPr>
          <w:b/>
          <w:bCs/>
        </w:rPr>
      </w:pPr>
      <w:r w:rsidRPr="00294CC1">
        <w:rPr>
          <w:b/>
          <w:bCs/>
        </w:rPr>
        <w:t>O</w:t>
      </w:r>
      <w:r w:rsidR="00B3289A" w:rsidRPr="00294CC1">
        <w:rPr>
          <w:b/>
          <w:bCs/>
        </w:rPr>
        <w:t xml:space="preserve">verview of Performance </w:t>
      </w:r>
    </w:p>
    <w:p w:rsidR="00216AA0" w:rsidRPr="00294CC1" w:rsidRDefault="00216AA0" w:rsidP="00144D47">
      <w:pPr>
        <w:pStyle w:val="Default"/>
        <w:contextualSpacing/>
      </w:pPr>
    </w:p>
    <w:p w:rsidR="00216AA0" w:rsidRPr="00294CC1" w:rsidRDefault="00216AA0" w:rsidP="00144D47">
      <w:pPr>
        <w:pStyle w:val="Default"/>
        <w:contextualSpacing/>
        <w:jc w:val="both"/>
      </w:pPr>
      <w:r w:rsidRPr="00294CC1">
        <w:t xml:space="preserve">The </w:t>
      </w:r>
      <w:r w:rsidR="00A5466E" w:rsidRPr="00294CC1">
        <w:t>f</w:t>
      </w:r>
      <w:r w:rsidRPr="00294CC1">
        <w:t>undamental purpose</w:t>
      </w:r>
      <w:r w:rsidR="00A5466E" w:rsidRPr="00294CC1">
        <w:t xml:space="preserve"> of OAA programs</w:t>
      </w:r>
      <w:r w:rsidRPr="00294CC1">
        <w:t xml:space="preserve">, in combination with the legislative intent that the </w:t>
      </w:r>
      <w:r w:rsidR="00463081" w:rsidRPr="00294CC1">
        <w:t>national a</w:t>
      </w:r>
      <w:r w:rsidRPr="00294CC1">
        <w:t xml:space="preserve">ging </w:t>
      </w:r>
      <w:r w:rsidR="00463081" w:rsidRPr="00294CC1">
        <w:t>s</w:t>
      </w:r>
      <w:r w:rsidRPr="00294CC1">
        <w:t xml:space="preserve">ervices </w:t>
      </w:r>
      <w:r w:rsidR="00463081" w:rsidRPr="00294CC1">
        <w:t>n</w:t>
      </w:r>
      <w:r w:rsidRPr="00294CC1">
        <w:t>etwork actively participate in supporting community-based services with particular attention to serving economically and socially vulnerable elders, led AoA to</w:t>
      </w:r>
      <w:r w:rsidR="002C090E" w:rsidRPr="00294CC1">
        <w:t xml:space="preserve"> </w:t>
      </w:r>
      <w:r w:rsidRPr="00294CC1">
        <w:t xml:space="preserve"> focus</w:t>
      </w:r>
      <w:r w:rsidR="002C090E" w:rsidRPr="00294CC1">
        <w:t xml:space="preserve"> </w:t>
      </w:r>
      <w:r w:rsidRPr="00294CC1">
        <w:t>on</w:t>
      </w:r>
      <w:r w:rsidR="002C090E" w:rsidRPr="00294CC1">
        <w:t xml:space="preserve"> </w:t>
      </w:r>
      <w:r w:rsidRPr="00294CC1">
        <w:t>three measures</w:t>
      </w:r>
      <w:r w:rsidR="00066763" w:rsidRPr="00294CC1">
        <w:t xml:space="preserve"> of performance:</w:t>
      </w:r>
      <w:r w:rsidRPr="00294CC1">
        <w:t xml:space="preserve"> </w:t>
      </w:r>
      <w:r w:rsidR="00853662">
        <w:t xml:space="preserve"> </w:t>
      </w:r>
      <w:r w:rsidRPr="00294CC1">
        <w:t>1)</w:t>
      </w:r>
      <w:r w:rsidR="00853662">
        <w:t xml:space="preserve"> </w:t>
      </w:r>
      <w:r w:rsidRPr="00294CC1">
        <w:t xml:space="preserve">improving </w:t>
      </w:r>
      <w:r w:rsidR="002C090E" w:rsidRPr="00294CC1">
        <w:t xml:space="preserve"> </w:t>
      </w:r>
      <w:r w:rsidRPr="00294CC1">
        <w:t>efficiency;</w:t>
      </w:r>
      <w:r w:rsidR="00853662">
        <w:t xml:space="preserve"> </w:t>
      </w:r>
      <w:r w:rsidRPr="00294CC1">
        <w:t xml:space="preserve">2) improving client outcomes; and 3) effectively targeting services to vulnerable elder populations. Each measure is representative of several activities across </w:t>
      </w:r>
      <w:r w:rsidR="00A5466E" w:rsidRPr="00294CC1">
        <w:t>OAA p</w:t>
      </w:r>
      <w:r w:rsidRPr="00294CC1">
        <w:t>rogram</w:t>
      </w:r>
      <w:r w:rsidR="00066763" w:rsidRPr="00294CC1">
        <w:t>s</w:t>
      </w:r>
      <w:r w:rsidR="00A5466E" w:rsidRPr="00294CC1">
        <w:t>,</w:t>
      </w:r>
      <w:r w:rsidRPr="00294CC1">
        <w:t xml:space="preserve"> and progress toward</w:t>
      </w:r>
      <w:r w:rsidR="00A5466E" w:rsidRPr="00294CC1">
        <w:t>s</w:t>
      </w:r>
      <w:r w:rsidRPr="00294CC1">
        <w:t xml:space="preserve"> achiev</w:t>
      </w:r>
      <w:r w:rsidR="00A5466E" w:rsidRPr="00294CC1">
        <w:t>ing each</w:t>
      </w:r>
      <w:r w:rsidRPr="00294CC1">
        <w:t xml:space="preserve"> measure is tracked using a number of indicators. The efficiency measure and corresponding indicators are reflective of the Office of Management </w:t>
      </w:r>
      <w:r w:rsidR="00DF6A5A">
        <w:t>and</w:t>
      </w:r>
      <w:r w:rsidRPr="00294CC1">
        <w:t xml:space="preserve"> Budget (OMB) requirements to measure efficiency for all program activities. The client outcome measure includes indicators focusing on consumer assessment of service quality and outcome indicators focusing on nursing home predictors, successful caregiver program operation</w:t>
      </w:r>
      <w:r w:rsidR="00BF52C3">
        <w:t>,</w:t>
      </w:r>
      <w:r w:rsidRPr="00294CC1">
        <w:t xml:space="preserve"> and protection of the vulnerable elderly. The targeting measure and indicators focus on ensuring that </w:t>
      </w:r>
      <w:r w:rsidR="0090285A" w:rsidRPr="00294CC1">
        <w:t>s</w:t>
      </w:r>
      <w:r w:rsidRPr="00294CC1">
        <w:t xml:space="preserve">tates and communities serve the most vulnerable elders. Taken together, the three measures and their corresponding performance indicators are designed to reflect AoA’s goals and objectives and in turn measure success in accomplishing AoA’s mission. </w:t>
      </w:r>
    </w:p>
    <w:p w:rsidR="00216AA0" w:rsidRPr="00294CC1" w:rsidRDefault="00216AA0" w:rsidP="00144D47">
      <w:pPr>
        <w:pStyle w:val="Default"/>
        <w:contextualSpacing/>
        <w:rPr>
          <w:sz w:val="23"/>
          <w:szCs w:val="23"/>
        </w:rPr>
      </w:pPr>
    </w:p>
    <w:p w:rsidR="00216AA0" w:rsidRPr="00294CC1" w:rsidRDefault="00216AA0" w:rsidP="00144D47">
      <w:pPr>
        <w:pStyle w:val="Default"/>
        <w:contextualSpacing/>
        <w:jc w:val="both"/>
      </w:pPr>
      <w:r w:rsidRPr="00294CC1">
        <w:t xml:space="preserve">An analysis of AoA’s performance trends shows that through </w:t>
      </w:r>
      <w:r w:rsidR="00D846BA" w:rsidRPr="00294CC1">
        <w:t xml:space="preserve">FY </w:t>
      </w:r>
      <w:r w:rsidR="0083169A">
        <w:t>201</w:t>
      </w:r>
      <w:r w:rsidR="00BE3F16">
        <w:t>5</w:t>
      </w:r>
      <w:r w:rsidR="000F235A" w:rsidRPr="00294CC1">
        <w:t>,</w:t>
      </w:r>
      <w:r w:rsidRPr="00294CC1">
        <w:t xml:space="preserve"> most outcome indicators have steadily improved</w:t>
      </w:r>
      <w:r w:rsidR="00262053" w:rsidRPr="00294CC1">
        <w:t xml:space="preserve"> and</w:t>
      </w:r>
      <w:r w:rsidRPr="00294CC1">
        <w:t xml:space="preserve"> demonstrate that services are continuing to be effective in helping older persons remain at home</w:t>
      </w:r>
      <w:r w:rsidR="00286BE0">
        <w:t>, supporting quality of life, and saving federal funds</w:t>
      </w:r>
      <w:r w:rsidRPr="00294CC1">
        <w:t xml:space="preserve">. Some key successes are indicative of the potential of AoA and the </w:t>
      </w:r>
      <w:r w:rsidR="00463081" w:rsidRPr="00294CC1">
        <w:t>n</w:t>
      </w:r>
      <w:r w:rsidRPr="00294CC1">
        <w:t xml:space="preserve">ational </w:t>
      </w:r>
      <w:r w:rsidR="00463081" w:rsidRPr="00294CC1">
        <w:t>a</w:t>
      </w:r>
      <w:r w:rsidRPr="00294CC1">
        <w:t xml:space="preserve">ging </w:t>
      </w:r>
      <w:r w:rsidR="00463081" w:rsidRPr="00294CC1">
        <w:t>services n</w:t>
      </w:r>
      <w:r w:rsidRPr="00294CC1">
        <w:t xml:space="preserve">etwork to meet the challenges posed by the growth of </w:t>
      </w:r>
      <w:r w:rsidR="00286BE0">
        <w:t>a</w:t>
      </w:r>
      <w:r w:rsidRPr="00294CC1">
        <w:t xml:space="preserve"> vulnerable older adult population, the changing care preferences of aging </w:t>
      </w:r>
      <w:r w:rsidR="00286BE0">
        <w:t>“</w:t>
      </w:r>
      <w:r w:rsidRPr="00294CC1">
        <w:t>baby boomers</w:t>
      </w:r>
      <w:r w:rsidR="00286BE0">
        <w:t>”,</w:t>
      </w:r>
      <w:r w:rsidRPr="00294CC1">
        <w:t xml:space="preserve"> the fiscal difficulties faced by </w:t>
      </w:r>
      <w:r w:rsidR="00286BE0">
        <w:t>individuals and</w:t>
      </w:r>
      <w:r w:rsidR="00E9025F">
        <w:t xml:space="preserve"> </w:t>
      </w:r>
      <w:r w:rsidR="00262053" w:rsidRPr="00294CC1">
        <w:t xml:space="preserve">federal and </w:t>
      </w:r>
      <w:r w:rsidR="00463081" w:rsidRPr="00294CC1">
        <w:t>s</w:t>
      </w:r>
      <w:r w:rsidRPr="00294CC1">
        <w:t xml:space="preserve">tate budgets, and the expanding needs of both </w:t>
      </w:r>
      <w:r w:rsidR="00A5466E" w:rsidRPr="00294CC1">
        <w:t xml:space="preserve">older Americans </w:t>
      </w:r>
      <w:r w:rsidRPr="00294CC1">
        <w:t xml:space="preserve">and their caregivers. </w:t>
      </w:r>
      <w:r w:rsidR="000B0EB1">
        <w:t>The following</w:t>
      </w:r>
      <w:r w:rsidRPr="00294CC1">
        <w:t xml:space="preserve"> are some examples of these successes: </w:t>
      </w:r>
    </w:p>
    <w:p w:rsidR="00216AA0" w:rsidRPr="00294CC1" w:rsidRDefault="00216AA0" w:rsidP="00144D47">
      <w:pPr>
        <w:pStyle w:val="Default"/>
        <w:contextualSpacing/>
        <w:jc w:val="both"/>
      </w:pPr>
    </w:p>
    <w:p w:rsidR="00216AA0" w:rsidRPr="00AE5090" w:rsidRDefault="00216AA0" w:rsidP="009D3791">
      <w:pPr>
        <w:pStyle w:val="Default"/>
        <w:numPr>
          <w:ilvl w:val="0"/>
          <w:numId w:val="4"/>
        </w:numPr>
        <w:contextualSpacing/>
        <w:jc w:val="both"/>
      </w:pPr>
      <w:r w:rsidRPr="00E72F4C">
        <w:rPr>
          <w:b/>
          <w:bCs/>
        </w:rPr>
        <w:t xml:space="preserve">OAA programs help older Americans with severe disabilities remain independent and in the community: </w:t>
      </w:r>
      <w:r w:rsidRPr="00E72F4C">
        <w:t xml:space="preserve">Older adults </w:t>
      </w:r>
      <w:r w:rsidR="00262053" w:rsidRPr="00E72F4C">
        <w:t>who</w:t>
      </w:r>
      <w:r w:rsidRPr="00E72F4C">
        <w:t xml:space="preserve"> have three or more impairments in </w:t>
      </w:r>
      <w:r w:rsidR="0024200A">
        <w:t>a</w:t>
      </w:r>
      <w:r w:rsidRPr="00E72F4C">
        <w:t xml:space="preserve">ctivities of </w:t>
      </w:r>
      <w:r w:rsidR="0024200A">
        <w:t>d</w:t>
      </w:r>
      <w:r w:rsidRPr="00E72F4C">
        <w:t xml:space="preserve">aily </w:t>
      </w:r>
      <w:r w:rsidR="0024200A">
        <w:t>l</w:t>
      </w:r>
      <w:r w:rsidRPr="00E72F4C">
        <w:t xml:space="preserve">iving (ADL) are at a high risk for nursing home placement. Measures of the </w:t>
      </w:r>
      <w:r w:rsidR="00463081" w:rsidRPr="00E72F4C">
        <w:t>n</w:t>
      </w:r>
      <w:r w:rsidRPr="00E72F4C">
        <w:t xml:space="preserve">ational </w:t>
      </w:r>
      <w:r w:rsidR="00463081" w:rsidRPr="00E72F4C">
        <w:t>a</w:t>
      </w:r>
      <w:r w:rsidRPr="00E72F4C">
        <w:t xml:space="preserve">ging </w:t>
      </w:r>
      <w:r w:rsidR="00463081" w:rsidRPr="00E72F4C">
        <w:t>s</w:t>
      </w:r>
      <w:r w:rsidRPr="00E72F4C">
        <w:t xml:space="preserve">ervices </w:t>
      </w:r>
      <w:r w:rsidR="00463081" w:rsidRPr="00E72F4C">
        <w:t>n</w:t>
      </w:r>
      <w:r w:rsidRPr="00E72F4C">
        <w:t xml:space="preserve">etwork’s success at serving this vulnerable population is a proxy for success at </w:t>
      </w:r>
      <w:r w:rsidRPr="00E72F4C">
        <w:lastRenderedPageBreak/>
        <w:t xml:space="preserve">nursing home delay </w:t>
      </w:r>
      <w:r w:rsidRPr="00E44304">
        <w:t xml:space="preserve">and </w:t>
      </w:r>
      <w:r w:rsidRPr="00AE5090">
        <w:t xml:space="preserve">diversion. </w:t>
      </w:r>
      <w:r w:rsidR="00E72F4C" w:rsidRPr="00AE5090">
        <w:t xml:space="preserve">In FY 2005, one-third of home-delivered nutrition clients lived with three or more ADL impairments and by FY </w:t>
      </w:r>
      <w:r w:rsidR="00BE4FF0" w:rsidRPr="00AE5090">
        <w:t xml:space="preserve">2015 </w:t>
      </w:r>
      <w:r w:rsidR="00E72F4C" w:rsidRPr="00AE5090">
        <w:t xml:space="preserve">the proportion grew to </w:t>
      </w:r>
      <w:r w:rsidR="00330551" w:rsidRPr="00AE5090">
        <w:t>42</w:t>
      </w:r>
      <w:r w:rsidR="00F816E3" w:rsidRPr="00AE5090">
        <w:t xml:space="preserve"> percent</w:t>
      </w:r>
      <w:r w:rsidR="008F520B" w:rsidRPr="00AE5090">
        <w:t>,</w:t>
      </w:r>
      <w:r w:rsidR="00E72F4C" w:rsidRPr="00AE5090">
        <w:t xml:space="preserve"> a </w:t>
      </w:r>
      <w:r w:rsidR="00330551" w:rsidRPr="00AE5090">
        <w:t>26</w:t>
      </w:r>
      <w:r w:rsidR="00AA09F5" w:rsidRPr="00AE5090">
        <w:t xml:space="preserve"> </w:t>
      </w:r>
      <w:r w:rsidR="00F816E3" w:rsidRPr="00AE5090">
        <w:t>percent</w:t>
      </w:r>
      <w:r w:rsidR="00E72F4C" w:rsidRPr="00AE5090">
        <w:t xml:space="preserve"> increase.</w:t>
      </w:r>
      <w:r w:rsidR="00E85B6C" w:rsidRPr="00AE5090">
        <w:rPr>
          <w:rStyle w:val="FootnoteReference"/>
        </w:rPr>
        <w:footnoteReference w:id="6"/>
      </w:r>
      <w:r w:rsidRPr="00AE5090">
        <w:t xml:space="preserve"> Another approach to measuring AoA’s success is the nursing home predictor score. The components of this composite score are predictive of nursing home placement based on scientific literature and AoA’s </w:t>
      </w:r>
      <w:r w:rsidR="00852115" w:rsidRPr="00AE5090">
        <w:t>Performance Outcomes Measurement Project (</w:t>
      </w:r>
      <w:r w:rsidRPr="00AE5090">
        <w:t>POMP</w:t>
      </w:r>
      <w:r w:rsidR="00852115" w:rsidRPr="00AE5090">
        <w:t>)</w:t>
      </w:r>
      <w:r w:rsidR="00D442E8" w:rsidRPr="00AE5090">
        <w:t>, which are developed and tested performance measures.</w:t>
      </w:r>
      <w:r w:rsidRPr="00AE5090">
        <w:t xml:space="preserve"> </w:t>
      </w:r>
      <w:r w:rsidR="00E72F4C" w:rsidRPr="00AE5090">
        <w:t xml:space="preserve">The composite score is </w:t>
      </w:r>
      <w:r w:rsidR="00E44304" w:rsidRPr="00AE5090">
        <w:t xml:space="preserve">a </w:t>
      </w:r>
      <w:r w:rsidR="00E72F4C" w:rsidRPr="00AE5090">
        <w:t xml:space="preserve">weighted </w:t>
      </w:r>
      <w:r w:rsidR="00341382" w:rsidRPr="00AE5090">
        <w:t>average;</w:t>
      </w:r>
      <w:r w:rsidR="00E72F4C" w:rsidRPr="00AE5090">
        <w:t xml:space="preserve"> t</w:t>
      </w:r>
      <w:r w:rsidRPr="00AE5090">
        <w:t>he components include such items as the percent of clients who are transportation disadvantaged and the percent of congregate meal clients who live alone. As the score increases, the prevalence of nursing home predictors in the OA</w:t>
      </w:r>
      <w:r w:rsidR="00E44304" w:rsidRPr="00AE5090">
        <w:t xml:space="preserve">A service population increases. </w:t>
      </w:r>
      <w:r w:rsidRPr="00AE5090">
        <w:t>In 2003, the nursing home predictor score was 46.57</w:t>
      </w:r>
      <w:r w:rsidR="00A5466E" w:rsidRPr="00AE5090">
        <w:t>.</w:t>
      </w:r>
      <w:r w:rsidRPr="00AE5090">
        <w:t xml:space="preserve"> </w:t>
      </w:r>
      <w:r w:rsidR="008F520B" w:rsidRPr="00AE5090">
        <w:t xml:space="preserve">Data </w:t>
      </w:r>
      <w:r w:rsidR="00A5466E" w:rsidRPr="00AE5090">
        <w:t xml:space="preserve">indicate </w:t>
      </w:r>
      <w:r w:rsidR="000F235A" w:rsidRPr="00AE5090">
        <w:t xml:space="preserve">it </w:t>
      </w:r>
      <w:r w:rsidRPr="00AE5090">
        <w:t xml:space="preserve">has increased to </w:t>
      </w:r>
      <w:r w:rsidR="00330551" w:rsidRPr="00AE5090">
        <w:t>63.8</w:t>
      </w:r>
      <w:r w:rsidR="008F520B" w:rsidRPr="00AE5090">
        <w:t>,</w:t>
      </w:r>
      <w:r w:rsidR="009D3791" w:rsidRPr="009D3791">
        <w:t xml:space="preserve"> a</w:t>
      </w:r>
      <w:r w:rsidR="00853662">
        <w:t xml:space="preserve"> </w:t>
      </w:r>
      <w:r w:rsidR="009D3791" w:rsidRPr="009D3791">
        <w:t>37 percent improvement over the FY 2003 baseline, indicating a higher percentage of consumers served who are at increased risk for nursing home entry.</w:t>
      </w:r>
      <w:r w:rsidR="009D3791">
        <w:t xml:space="preserve"> </w:t>
      </w:r>
    </w:p>
    <w:p w:rsidR="00216AA0" w:rsidRPr="00E72F4C" w:rsidRDefault="00216AA0" w:rsidP="00144D47">
      <w:pPr>
        <w:pStyle w:val="Default"/>
        <w:ind w:left="360"/>
        <w:contextualSpacing/>
        <w:jc w:val="both"/>
      </w:pPr>
    </w:p>
    <w:p w:rsidR="00216AA0" w:rsidRPr="00AE5090" w:rsidRDefault="00216AA0" w:rsidP="00FA2C70">
      <w:pPr>
        <w:pStyle w:val="Default"/>
        <w:numPr>
          <w:ilvl w:val="0"/>
          <w:numId w:val="4"/>
        </w:numPr>
        <w:contextualSpacing/>
        <w:jc w:val="both"/>
      </w:pPr>
      <w:r w:rsidRPr="00AE5090">
        <w:rPr>
          <w:b/>
          <w:bCs/>
        </w:rPr>
        <w:t xml:space="preserve">OAA programs are efficient: </w:t>
      </w:r>
      <w:r w:rsidRPr="00AE5090">
        <w:t xml:space="preserve">The </w:t>
      </w:r>
      <w:r w:rsidR="00463081" w:rsidRPr="00AE5090">
        <w:t>n</w:t>
      </w:r>
      <w:r w:rsidRPr="00AE5090">
        <w:t xml:space="preserve">ational </w:t>
      </w:r>
      <w:r w:rsidR="00463081" w:rsidRPr="00AE5090">
        <w:t>aging s</w:t>
      </w:r>
      <w:r w:rsidRPr="00AE5090">
        <w:t xml:space="preserve">ervices </w:t>
      </w:r>
      <w:r w:rsidR="00463081" w:rsidRPr="00AE5090">
        <w:t>n</w:t>
      </w:r>
      <w:r w:rsidRPr="00AE5090">
        <w:t xml:space="preserve">etwork is providing high quality services to the neediest elders and doing so in a very prudent and cost-effective manner. </w:t>
      </w:r>
      <w:r w:rsidR="00262053" w:rsidRPr="00AE5090">
        <w:t xml:space="preserve">Over the past decade, </w:t>
      </w:r>
      <w:r w:rsidRPr="00AE5090">
        <w:t xml:space="preserve">the number of clients served per million dollars of </w:t>
      </w:r>
      <w:r w:rsidR="00A5466E" w:rsidRPr="00AE5090">
        <w:t>OAA</w:t>
      </w:r>
      <w:r w:rsidRPr="00AE5090">
        <w:t xml:space="preserve"> Title III funding</w:t>
      </w:r>
      <w:r w:rsidR="00262053" w:rsidRPr="00AE5090">
        <w:t xml:space="preserve"> has increased significantly. </w:t>
      </w:r>
      <w:r w:rsidRPr="00AE5090">
        <w:t xml:space="preserve"> </w:t>
      </w:r>
      <w:r w:rsidR="00262053" w:rsidRPr="00AE5090">
        <w:t>During</w:t>
      </w:r>
      <w:r w:rsidRPr="00AE5090">
        <w:t xml:space="preserve"> FY </w:t>
      </w:r>
      <w:r w:rsidR="00136E4A" w:rsidRPr="00AE5090">
        <w:t>201</w:t>
      </w:r>
      <w:r w:rsidR="00B67FF4" w:rsidRPr="00AE5090">
        <w:t>5</w:t>
      </w:r>
      <w:r w:rsidR="00463081" w:rsidRPr="00AE5090">
        <w:t>,</w:t>
      </w:r>
      <w:r w:rsidRPr="00AE5090">
        <w:t xml:space="preserve"> </w:t>
      </w:r>
      <w:r w:rsidR="00463081" w:rsidRPr="00AE5090">
        <w:t>t</w:t>
      </w:r>
      <w:r w:rsidRPr="00AE5090">
        <w:t xml:space="preserve">he </w:t>
      </w:r>
      <w:r w:rsidR="00463081" w:rsidRPr="00AE5090">
        <w:t>n</w:t>
      </w:r>
      <w:r w:rsidRPr="00AE5090">
        <w:t xml:space="preserve">ational </w:t>
      </w:r>
      <w:r w:rsidR="00463081" w:rsidRPr="00AE5090">
        <w:t>a</w:t>
      </w:r>
      <w:r w:rsidRPr="00AE5090">
        <w:t xml:space="preserve">ging </w:t>
      </w:r>
      <w:r w:rsidR="00463081" w:rsidRPr="00AE5090">
        <w:t>s</w:t>
      </w:r>
      <w:r w:rsidRPr="00AE5090">
        <w:t xml:space="preserve">ervices </w:t>
      </w:r>
      <w:r w:rsidR="00463081" w:rsidRPr="00AE5090">
        <w:t>n</w:t>
      </w:r>
      <w:r w:rsidRPr="00AE5090">
        <w:t xml:space="preserve">etwork served </w:t>
      </w:r>
      <w:r w:rsidR="008C67DE" w:rsidRPr="00AE5090">
        <w:t>8,785</w:t>
      </w:r>
      <w:r w:rsidRPr="00AE5090">
        <w:t xml:space="preserve"> people per million dollars of OAA Title III funding. Since this measure’s introduction in FY</w:t>
      </w:r>
      <w:r w:rsidR="009341CA" w:rsidRPr="00AE5090">
        <w:t> </w:t>
      </w:r>
      <w:r w:rsidRPr="00AE5090">
        <w:t xml:space="preserve">2005, AoA and the </w:t>
      </w:r>
      <w:r w:rsidR="00463081" w:rsidRPr="00AE5090">
        <w:t>n</w:t>
      </w:r>
      <w:r w:rsidRPr="00AE5090">
        <w:t xml:space="preserve">ational </w:t>
      </w:r>
      <w:r w:rsidR="00463081" w:rsidRPr="00AE5090">
        <w:t>a</w:t>
      </w:r>
      <w:r w:rsidRPr="00AE5090">
        <w:t xml:space="preserve">ging </w:t>
      </w:r>
      <w:r w:rsidR="00463081" w:rsidRPr="00AE5090">
        <w:t>s</w:t>
      </w:r>
      <w:r w:rsidRPr="00AE5090">
        <w:t xml:space="preserve">ervices </w:t>
      </w:r>
      <w:r w:rsidR="00463081" w:rsidRPr="00AE5090">
        <w:t>n</w:t>
      </w:r>
      <w:r w:rsidRPr="00AE5090">
        <w:t xml:space="preserve">etwork have met or exceeded efficiency targets. </w:t>
      </w:r>
    </w:p>
    <w:p w:rsidR="00216AA0" w:rsidRPr="00E053B9" w:rsidRDefault="00216AA0" w:rsidP="00144D47">
      <w:pPr>
        <w:pStyle w:val="Default"/>
        <w:ind w:left="360"/>
        <w:contextualSpacing/>
        <w:jc w:val="both"/>
        <w:rPr>
          <w:color w:val="auto"/>
          <w:highlight w:val="yellow"/>
        </w:rPr>
      </w:pPr>
    </w:p>
    <w:p w:rsidR="00216AA0" w:rsidRPr="004C4286" w:rsidRDefault="00216AA0" w:rsidP="00FA2C70">
      <w:pPr>
        <w:pStyle w:val="Default"/>
        <w:numPr>
          <w:ilvl w:val="0"/>
          <w:numId w:val="4"/>
        </w:numPr>
        <w:contextualSpacing/>
        <w:jc w:val="both"/>
        <w:rPr>
          <w:color w:val="auto"/>
        </w:rPr>
      </w:pPr>
      <w:r w:rsidRPr="004C4286">
        <w:rPr>
          <w:b/>
          <w:bCs/>
        </w:rPr>
        <w:t xml:space="preserve">OAA programs build system capacity: </w:t>
      </w:r>
      <w:r w:rsidRPr="004C4286">
        <w:t xml:space="preserve">OAA programs stay true to their original intent to “encourage and assist </w:t>
      </w:r>
      <w:r w:rsidR="00463081" w:rsidRPr="004C4286">
        <w:t>s</w:t>
      </w:r>
      <w:r w:rsidRPr="004C4286">
        <w:t xml:space="preserve">tate agencies and </w:t>
      </w:r>
      <w:r w:rsidR="00463081" w:rsidRPr="004C4286">
        <w:t>a</w:t>
      </w:r>
      <w:r w:rsidRPr="004C4286">
        <w:t xml:space="preserve">rea </w:t>
      </w:r>
      <w:r w:rsidR="00463081" w:rsidRPr="004C4286">
        <w:t>a</w:t>
      </w:r>
      <w:r w:rsidRPr="004C4286">
        <w:t xml:space="preserve">gencies on </w:t>
      </w:r>
      <w:r w:rsidR="00463081" w:rsidRPr="004C4286">
        <w:t>a</w:t>
      </w:r>
      <w:r w:rsidRPr="004C4286">
        <w:t xml:space="preserve">ging to concentrate resources in </w:t>
      </w:r>
      <w:r w:rsidRPr="00C833D3">
        <w:t xml:space="preserve">order to develop greater capacity and foster the development and implementation of </w:t>
      </w:r>
      <w:r w:rsidRPr="00317595">
        <w:t>comprehensive and coordinated systems</w:t>
      </w:r>
      <w:r w:rsidR="002A448F" w:rsidRPr="00317595">
        <w:t>,</w:t>
      </w:r>
      <w:r w:rsidRPr="00317595">
        <w:t>”</w:t>
      </w:r>
      <w:r w:rsidR="002A448F" w:rsidRPr="00317595">
        <w:t xml:space="preserve"> </w:t>
      </w:r>
      <w:r w:rsidRPr="00317595">
        <w:t>(OAA Section 301)</w:t>
      </w:r>
      <w:r w:rsidR="002A448F" w:rsidRPr="00317595">
        <w:t>.</w:t>
      </w:r>
      <w:r w:rsidRPr="00317595">
        <w:t xml:space="preserve"> This is evident in the leveraging of OAA funds with </w:t>
      </w:r>
      <w:r w:rsidR="00262053" w:rsidRPr="00317595">
        <w:t>s</w:t>
      </w:r>
      <w:r w:rsidRPr="00317595">
        <w:t>tate/local or other funds (</w:t>
      </w:r>
      <w:r w:rsidR="005A4988" w:rsidRPr="00317595">
        <w:t xml:space="preserve">between two to </w:t>
      </w:r>
      <w:r w:rsidR="00F816E3" w:rsidRPr="00317595">
        <w:t>three dollars</w:t>
      </w:r>
      <w:r w:rsidRPr="00317595">
        <w:t xml:space="preserve"> in other funds for every dollar of OAA funds expended), </w:t>
      </w:r>
      <w:r w:rsidRPr="00317595">
        <w:rPr>
          <w:color w:val="auto"/>
        </w:rPr>
        <w:t xml:space="preserve">as well as in the expansion of projects such as the Aging and Disability Resource Center </w:t>
      </w:r>
      <w:r w:rsidR="003E613B" w:rsidRPr="00317595">
        <w:rPr>
          <w:color w:val="auto"/>
        </w:rPr>
        <w:t xml:space="preserve">(ADRC) </w:t>
      </w:r>
      <w:r w:rsidRPr="00317595">
        <w:rPr>
          <w:color w:val="auto"/>
        </w:rPr>
        <w:t xml:space="preserve">initiative, </w:t>
      </w:r>
      <w:r w:rsidR="005A4988" w:rsidRPr="00317595">
        <w:t xml:space="preserve">over 500 </w:t>
      </w:r>
      <w:r w:rsidR="0030449A" w:rsidRPr="00317595">
        <w:t xml:space="preserve">ADRC sites have been established across </w:t>
      </w:r>
      <w:r w:rsidR="005A4988" w:rsidRPr="00317595">
        <w:t xml:space="preserve">50 </w:t>
      </w:r>
      <w:r w:rsidR="0030449A" w:rsidRPr="00317595">
        <w:t xml:space="preserve">states, </w:t>
      </w:r>
      <w:r w:rsidR="005A4988" w:rsidRPr="00317595">
        <w:t xml:space="preserve">two </w:t>
      </w:r>
      <w:r w:rsidR="0030449A" w:rsidRPr="00317595">
        <w:t>territories, and Washington, DC.</w:t>
      </w:r>
      <w:r w:rsidR="00286BE0">
        <w:t xml:space="preserve">  OAA programs are a longstanding example of how the federal government, states, and localities can </w:t>
      </w:r>
      <w:r w:rsidR="00E9025F">
        <w:t xml:space="preserve">effectively </w:t>
      </w:r>
      <w:r w:rsidR="00286BE0">
        <w:t>work together to improve system performance.</w:t>
      </w:r>
    </w:p>
    <w:p w:rsidR="0030449A" w:rsidRPr="004C4286" w:rsidRDefault="0030449A" w:rsidP="0030449A">
      <w:pPr>
        <w:pStyle w:val="ListParagraph"/>
      </w:pPr>
    </w:p>
    <w:p w:rsidR="000E1ACE" w:rsidRPr="00AE5090" w:rsidRDefault="009E473F" w:rsidP="000E1ACE">
      <w:pPr>
        <w:pStyle w:val="Default"/>
        <w:contextualSpacing/>
        <w:jc w:val="both"/>
      </w:pPr>
      <w:r w:rsidRPr="00AE5090">
        <w:rPr>
          <w:b/>
          <w:bCs/>
        </w:rPr>
        <w:t>OAA clients report that services c</w:t>
      </w:r>
      <w:r w:rsidRPr="00AE5090">
        <w:rPr>
          <w:b/>
        </w:rPr>
        <w:t>ontribute in an essential way to maintaining their independence and they express a high level of satisfaction with these services</w:t>
      </w:r>
      <w:r w:rsidR="000A1E79" w:rsidRPr="00AE5090">
        <w:rPr>
          <w:b/>
        </w:rPr>
        <w:t xml:space="preserve">: </w:t>
      </w:r>
      <w:r w:rsidR="000F235A" w:rsidRPr="00AE5090">
        <w:t xml:space="preserve">In </w:t>
      </w:r>
      <w:r w:rsidR="0095267D" w:rsidRPr="00AE5090">
        <w:t>2015</w:t>
      </w:r>
      <w:r w:rsidR="00041BA0" w:rsidRPr="00AE5090">
        <w:t>, 9</w:t>
      </w:r>
      <w:r w:rsidR="005C1AC1" w:rsidRPr="00AE5090">
        <w:t>2</w:t>
      </w:r>
      <w:r w:rsidR="00852115" w:rsidRPr="00AE5090">
        <w:t xml:space="preserve"> percent</w:t>
      </w:r>
      <w:r w:rsidR="00216AA0" w:rsidRPr="00AE5090">
        <w:t xml:space="preserve"> of </w:t>
      </w:r>
      <w:r w:rsidR="00B56D8B" w:rsidRPr="00AE5090">
        <w:t xml:space="preserve">home-delivered nutrition </w:t>
      </w:r>
      <w:r w:rsidR="008F6A94" w:rsidRPr="00AE5090">
        <w:t>clients reported that the services help them to continue living at home</w:t>
      </w:r>
      <w:r w:rsidR="003508A1" w:rsidRPr="00AE5090">
        <w:t>.</w:t>
      </w:r>
      <w:r w:rsidR="008F6A94" w:rsidRPr="00AE5090">
        <w:t xml:space="preserve"> </w:t>
      </w:r>
      <w:r w:rsidR="000A1E79" w:rsidRPr="00AE5090">
        <w:t>In addition</w:t>
      </w:r>
      <w:r w:rsidR="003508A1" w:rsidRPr="00AE5090">
        <w:t>,</w:t>
      </w:r>
      <w:r w:rsidR="008F6A94" w:rsidRPr="00AE5090">
        <w:t xml:space="preserve"> </w:t>
      </w:r>
      <w:r w:rsidR="003F0E42" w:rsidRPr="00AE5090">
        <w:t xml:space="preserve">81 percent </w:t>
      </w:r>
      <w:r w:rsidR="003D337F" w:rsidRPr="00AE5090">
        <w:t xml:space="preserve">of </w:t>
      </w:r>
      <w:r w:rsidR="00B56D8B" w:rsidRPr="00AE5090">
        <w:t>case management service clients report the service</w:t>
      </w:r>
      <w:r w:rsidR="003F0E42" w:rsidRPr="00AE5090">
        <w:t xml:space="preserve">s </w:t>
      </w:r>
      <w:r w:rsidR="003D337F" w:rsidRPr="00AE5090">
        <w:t xml:space="preserve">they </w:t>
      </w:r>
      <w:r w:rsidR="003F0E42" w:rsidRPr="00AE5090">
        <w:t>received</w:t>
      </w:r>
      <w:r w:rsidR="00B56D8B" w:rsidRPr="00AE5090">
        <w:t xml:space="preserve"> </w:t>
      </w:r>
      <w:r w:rsidR="00A40C6F" w:rsidRPr="00AE5090">
        <w:t>ha</w:t>
      </w:r>
      <w:r w:rsidR="003F0E42" w:rsidRPr="00AE5090">
        <w:t>ve</w:t>
      </w:r>
      <w:r w:rsidR="00A40C6F" w:rsidRPr="00AE5090">
        <w:t xml:space="preserve"> enabled them to better care for </w:t>
      </w:r>
      <w:r w:rsidR="003508A1" w:rsidRPr="00AE5090">
        <w:t>themselves.</w:t>
      </w:r>
      <w:r w:rsidR="008F6A94" w:rsidRPr="00AE5090">
        <w:rPr>
          <w:rStyle w:val="FootnoteReference"/>
        </w:rPr>
        <w:footnoteReference w:id="7"/>
      </w:r>
      <w:r w:rsidR="008F6A94" w:rsidRPr="00AE5090">
        <w:t xml:space="preserve">  </w:t>
      </w:r>
      <w:r w:rsidR="00041BA0" w:rsidRPr="00AE5090">
        <w:t>C</w:t>
      </w:r>
      <w:r w:rsidR="008F6A94" w:rsidRPr="00AE5090">
        <w:t xml:space="preserve">lients across all services </w:t>
      </w:r>
      <w:r w:rsidR="00041BA0" w:rsidRPr="00AE5090">
        <w:t xml:space="preserve">rate the quality of these services extremely high and </w:t>
      </w:r>
      <w:r w:rsidR="008F6A94" w:rsidRPr="00AE5090">
        <w:t xml:space="preserve">are satisfied with OAA services.  For example, </w:t>
      </w:r>
      <w:r w:rsidR="005C1AC1" w:rsidRPr="00AE5090">
        <w:t>95.1</w:t>
      </w:r>
      <w:r w:rsidR="00FF6B45" w:rsidRPr="00AE5090">
        <w:t xml:space="preserve"> </w:t>
      </w:r>
      <w:r w:rsidR="008F6A94" w:rsidRPr="00AE5090">
        <w:t xml:space="preserve">percent of </w:t>
      </w:r>
      <w:r w:rsidR="00216AA0" w:rsidRPr="00AE5090">
        <w:t>transportation clients rated s</w:t>
      </w:r>
      <w:r w:rsidR="00041BA0" w:rsidRPr="00AE5090">
        <w:t xml:space="preserve">ervices good to excellent and </w:t>
      </w:r>
      <w:r w:rsidR="005C1AC1" w:rsidRPr="00AE5090">
        <w:t>93.6</w:t>
      </w:r>
      <w:r w:rsidR="00FF6B45" w:rsidRPr="00AE5090">
        <w:t xml:space="preserve"> </w:t>
      </w:r>
      <w:r w:rsidR="00312026" w:rsidRPr="00AE5090">
        <w:t>percent</w:t>
      </w:r>
      <w:r w:rsidR="00216AA0" w:rsidRPr="00AE5090">
        <w:t xml:space="preserve"> of caregivers rated services good to excellent</w:t>
      </w:r>
      <w:r w:rsidR="00AE0211" w:rsidRPr="00AE5090">
        <w:t>.</w:t>
      </w:r>
      <w:r w:rsidR="00FF6B45" w:rsidRPr="00AE5090">
        <w:rPr>
          <w:rStyle w:val="FootnoteReference"/>
        </w:rPr>
        <w:footnoteReference w:id="8"/>
      </w:r>
      <w:r w:rsidR="00216AA0" w:rsidRPr="00AE5090">
        <w:t xml:space="preserve"> To help ensure the continuation of these trends in core programs, AoA uses its discretionary funding to test innovative service delivery models for </w:t>
      </w:r>
      <w:r w:rsidR="00A5466E" w:rsidRPr="00AE5090">
        <w:t>s</w:t>
      </w:r>
      <w:r w:rsidR="00216AA0" w:rsidRPr="00AE5090">
        <w:t>tate and local pro</w:t>
      </w:r>
      <w:r w:rsidR="00216AA0" w:rsidRPr="00AE5090">
        <w:rPr>
          <w:bCs/>
        </w:rPr>
        <w:t>g</w:t>
      </w:r>
      <w:r w:rsidR="00216AA0" w:rsidRPr="00AE5090">
        <w:t xml:space="preserve">ram entities that show promise for generating measurable improvements in program activities. </w:t>
      </w:r>
    </w:p>
    <w:p w:rsidR="000E1ACE" w:rsidRDefault="000E1ACE" w:rsidP="000E1ACE">
      <w:pPr>
        <w:pStyle w:val="ListParagraph"/>
        <w:ind w:left="0"/>
      </w:pPr>
    </w:p>
    <w:p w:rsidR="00313379" w:rsidRDefault="00313379" w:rsidP="000E1ACE">
      <w:pPr>
        <w:pStyle w:val="Default"/>
        <w:contextualSpacing/>
        <w:jc w:val="both"/>
      </w:pPr>
      <w:r w:rsidRPr="00041BA0">
        <w:t xml:space="preserve">The tables on the next page provide a summary of the persons served during FY </w:t>
      </w:r>
      <w:r w:rsidR="0095267D">
        <w:t>2015</w:t>
      </w:r>
      <w:r w:rsidR="0095267D" w:rsidRPr="00041BA0">
        <w:t xml:space="preserve"> </w:t>
      </w:r>
      <w:r w:rsidRPr="00041BA0">
        <w:t>through the OAA’s programs.  Additionally, a listing of grant funding allocations by state, territory and tribal organization can be viewed in the Appendix.</w:t>
      </w:r>
    </w:p>
    <w:p w:rsidR="00EE0452" w:rsidRPr="00EE0452" w:rsidRDefault="004C67C3" w:rsidP="00EB7718">
      <w:pPr>
        <w:pStyle w:val="Heading2"/>
      </w:pPr>
      <w:r>
        <w:br w:type="page"/>
      </w:r>
      <w:bookmarkStart w:id="3" w:name="_Toc436738868"/>
      <w:r w:rsidR="00EE0452" w:rsidRPr="00EE0452">
        <w:lastRenderedPageBreak/>
        <w:t>National Program Data on Services Provided</w:t>
      </w:r>
      <w:bookmarkEnd w:id="3"/>
    </w:p>
    <w:p w:rsidR="00EE0452" w:rsidRDefault="00EE0452" w:rsidP="00EE045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780"/>
      </w:tblGrid>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spacing w:val="-5"/>
              </w:rPr>
            </w:pPr>
          </w:p>
        </w:tc>
        <w:tc>
          <w:tcPr>
            <w:tcW w:w="3780" w:type="dxa"/>
          </w:tcPr>
          <w:p w:rsidR="00F749D5" w:rsidRPr="00E7166A" w:rsidRDefault="00C5066D" w:rsidP="00AE5090">
            <w:pPr>
              <w:tabs>
                <w:tab w:val="left" w:pos="194"/>
                <w:tab w:val="right" w:pos="5710"/>
              </w:tabs>
              <w:spacing w:line="238" w:lineRule="exact"/>
              <w:jc w:val="center"/>
              <w:rPr>
                <w:b/>
                <w:color w:val="000000"/>
                <w:spacing w:val="-7"/>
              </w:rPr>
            </w:pPr>
            <w:r w:rsidRPr="00E7166A">
              <w:rPr>
                <w:b/>
                <w:color w:val="000000"/>
                <w:spacing w:val="-7"/>
              </w:rPr>
              <w:t xml:space="preserve">FY </w:t>
            </w:r>
            <w:r w:rsidR="0083169A">
              <w:rPr>
                <w:b/>
                <w:color w:val="000000"/>
                <w:spacing w:val="-7"/>
              </w:rPr>
              <w:t>201</w:t>
            </w:r>
            <w:r w:rsidR="00AE5090">
              <w:rPr>
                <w:b/>
                <w:color w:val="000000"/>
                <w:spacing w:val="-7"/>
              </w:rPr>
              <w:t>5</w:t>
            </w:r>
          </w:p>
        </w:tc>
      </w:tr>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5"/>
              </w:rPr>
              <w:t>Total Clients</w:t>
            </w:r>
          </w:p>
        </w:tc>
        <w:tc>
          <w:tcPr>
            <w:tcW w:w="3780" w:type="dxa"/>
          </w:tcPr>
          <w:p w:rsidR="00F749D5" w:rsidRPr="00E7166A" w:rsidRDefault="000D3D91" w:rsidP="00313379">
            <w:pPr>
              <w:tabs>
                <w:tab w:val="left" w:pos="194"/>
                <w:tab w:val="right" w:pos="5710"/>
              </w:tabs>
              <w:spacing w:line="238" w:lineRule="exact"/>
              <w:jc w:val="center"/>
              <w:rPr>
                <w:color w:val="000000"/>
              </w:rPr>
            </w:pPr>
            <w:r>
              <w:rPr>
                <w:color w:val="000000"/>
              </w:rPr>
              <w:t>10,876,304</w:t>
            </w:r>
          </w:p>
        </w:tc>
      </w:tr>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5"/>
              </w:rPr>
              <w:t>Total Registered Clients</w:t>
            </w:r>
          </w:p>
        </w:tc>
        <w:tc>
          <w:tcPr>
            <w:tcW w:w="3780" w:type="dxa"/>
          </w:tcPr>
          <w:p w:rsidR="00F749D5" w:rsidRPr="00E7166A" w:rsidRDefault="000D3D91" w:rsidP="00313379">
            <w:pPr>
              <w:tabs>
                <w:tab w:val="left" w:pos="194"/>
                <w:tab w:val="right" w:pos="5710"/>
              </w:tabs>
              <w:spacing w:line="238" w:lineRule="exact"/>
              <w:jc w:val="center"/>
              <w:rPr>
                <w:color w:val="000000"/>
              </w:rPr>
            </w:pPr>
            <w:r>
              <w:rPr>
                <w:color w:val="000000"/>
              </w:rPr>
              <w:t>2,765,020</w:t>
            </w:r>
          </w:p>
        </w:tc>
      </w:tr>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6"/>
              </w:rPr>
              <w:t>% Minority Clients</w:t>
            </w:r>
            <w:r w:rsidR="00D24D05">
              <w:rPr>
                <w:rStyle w:val="FootnoteReference"/>
                <w:color w:val="000000"/>
                <w:spacing w:val="-6"/>
              </w:rPr>
              <w:footnoteReference w:id="9"/>
            </w:r>
          </w:p>
        </w:tc>
        <w:tc>
          <w:tcPr>
            <w:tcW w:w="3780" w:type="dxa"/>
          </w:tcPr>
          <w:p w:rsidR="00F749D5" w:rsidRPr="00E7166A" w:rsidRDefault="000D3D91" w:rsidP="00451837">
            <w:pPr>
              <w:tabs>
                <w:tab w:val="left" w:pos="194"/>
                <w:tab w:val="right" w:pos="5710"/>
              </w:tabs>
              <w:spacing w:line="238" w:lineRule="exact"/>
              <w:jc w:val="center"/>
              <w:rPr>
                <w:color w:val="000000"/>
                <w:spacing w:val="-10"/>
              </w:rPr>
            </w:pPr>
            <w:r>
              <w:rPr>
                <w:color w:val="000000"/>
                <w:spacing w:val="-10"/>
              </w:rPr>
              <w:t>29.41%</w:t>
            </w:r>
          </w:p>
        </w:tc>
      </w:tr>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6"/>
              </w:rPr>
              <w:t>% Rural Clients</w:t>
            </w:r>
          </w:p>
        </w:tc>
        <w:tc>
          <w:tcPr>
            <w:tcW w:w="3780" w:type="dxa"/>
          </w:tcPr>
          <w:p w:rsidR="00F749D5" w:rsidRPr="00E7166A" w:rsidRDefault="000D3D91" w:rsidP="00313379">
            <w:pPr>
              <w:tabs>
                <w:tab w:val="left" w:pos="194"/>
                <w:tab w:val="right" w:pos="5710"/>
              </w:tabs>
              <w:spacing w:line="238" w:lineRule="exact"/>
              <w:jc w:val="center"/>
              <w:rPr>
                <w:color w:val="000000"/>
              </w:rPr>
            </w:pPr>
            <w:r>
              <w:rPr>
                <w:color w:val="000000"/>
              </w:rPr>
              <w:t>35.40%</w:t>
            </w:r>
          </w:p>
        </w:tc>
      </w:tr>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rPr>
            </w:pPr>
            <w:r w:rsidRPr="00E7166A">
              <w:rPr>
                <w:color w:val="000000"/>
                <w:spacing w:val="-5"/>
              </w:rPr>
              <w:t>% Clients Below Poverty</w:t>
            </w:r>
          </w:p>
        </w:tc>
        <w:tc>
          <w:tcPr>
            <w:tcW w:w="3780" w:type="dxa"/>
          </w:tcPr>
          <w:p w:rsidR="00F749D5" w:rsidRPr="00E7166A" w:rsidRDefault="000D3D91" w:rsidP="00313379">
            <w:pPr>
              <w:tabs>
                <w:tab w:val="left" w:pos="194"/>
                <w:tab w:val="right" w:pos="5710"/>
              </w:tabs>
              <w:spacing w:line="238" w:lineRule="exact"/>
              <w:jc w:val="center"/>
              <w:rPr>
                <w:color w:val="000000"/>
              </w:rPr>
            </w:pPr>
            <w:r>
              <w:rPr>
                <w:color w:val="000000"/>
              </w:rPr>
              <w:t>32.53%</w:t>
            </w:r>
          </w:p>
        </w:tc>
      </w:tr>
      <w:tr w:rsidR="00F749D5" w:rsidRPr="00E7166A" w:rsidTr="00313379">
        <w:tc>
          <w:tcPr>
            <w:tcW w:w="4860" w:type="dxa"/>
          </w:tcPr>
          <w:p w:rsidR="00F749D5" w:rsidRPr="00E7166A" w:rsidRDefault="00F749D5" w:rsidP="00313379">
            <w:pPr>
              <w:tabs>
                <w:tab w:val="left" w:pos="194"/>
                <w:tab w:val="right" w:pos="5710"/>
              </w:tabs>
              <w:spacing w:line="238" w:lineRule="exact"/>
              <w:jc w:val="center"/>
              <w:rPr>
                <w:color w:val="000000"/>
                <w:spacing w:val="-5"/>
              </w:rPr>
            </w:pPr>
            <w:r w:rsidRPr="00E7166A">
              <w:rPr>
                <w:color w:val="000000"/>
                <w:spacing w:val="-5"/>
              </w:rPr>
              <w:t># Senior Centers</w:t>
            </w:r>
          </w:p>
        </w:tc>
        <w:tc>
          <w:tcPr>
            <w:tcW w:w="3780" w:type="dxa"/>
          </w:tcPr>
          <w:p w:rsidR="00F749D5" w:rsidRPr="00E7166A" w:rsidRDefault="008C67DE" w:rsidP="008C67DE">
            <w:pPr>
              <w:tabs>
                <w:tab w:val="left" w:pos="194"/>
                <w:tab w:val="right" w:pos="5710"/>
              </w:tabs>
              <w:spacing w:line="238" w:lineRule="exact"/>
              <w:jc w:val="center"/>
              <w:rPr>
                <w:color w:val="000000"/>
                <w:spacing w:val="-9"/>
              </w:rPr>
            </w:pPr>
            <w:r>
              <w:rPr>
                <w:color w:val="000000"/>
                <w:spacing w:val="-9"/>
              </w:rPr>
              <w:t>9,781</w:t>
            </w:r>
            <w:r w:rsidR="00C920E8" w:rsidRPr="00C920E8">
              <w:rPr>
                <w:color w:val="000000"/>
                <w:spacing w:val="-9"/>
              </w:rPr>
              <w:t xml:space="preserve"> </w:t>
            </w:r>
            <w:r w:rsidR="0016013D" w:rsidRPr="00E7166A">
              <w:rPr>
                <w:color w:val="000000"/>
                <w:spacing w:val="-9"/>
              </w:rPr>
              <w:t>(</w:t>
            </w:r>
            <w:r>
              <w:rPr>
                <w:color w:val="000000"/>
                <w:spacing w:val="-9"/>
              </w:rPr>
              <w:t xml:space="preserve">5,688 </w:t>
            </w:r>
            <w:r w:rsidR="00F749D5" w:rsidRPr="00E7166A">
              <w:rPr>
                <w:color w:val="000000"/>
                <w:spacing w:val="-9"/>
              </w:rPr>
              <w:t>receive OAA funding)</w:t>
            </w:r>
          </w:p>
        </w:tc>
      </w:tr>
    </w:tbl>
    <w:p w:rsidR="00F749D5" w:rsidRPr="00E7166A" w:rsidRDefault="00F749D5" w:rsidP="00F749D5">
      <w:pPr>
        <w:shd w:val="clear" w:color="auto" w:fill="FFFFFF"/>
        <w:tabs>
          <w:tab w:val="left" w:pos="194"/>
          <w:tab w:val="right" w:pos="5710"/>
        </w:tabs>
        <w:spacing w:line="238"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50"/>
        <w:gridCol w:w="1530"/>
        <w:gridCol w:w="2070"/>
        <w:gridCol w:w="1998"/>
      </w:tblGrid>
      <w:tr w:rsidR="00A40C6F" w:rsidRPr="00E7166A" w:rsidTr="00F02949">
        <w:tc>
          <w:tcPr>
            <w:tcW w:w="2628"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tabs>
                <w:tab w:val="left" w:pos="194"/>
                <w:tab w:val="right" w:pos="5710"/>
              </w:tabs>
              <w:spacing w:line="238" w:lineRule="exact"/>
              <w:rPr>
                <w:b/>
                <w:color w:val="000000"/>
              </w:rPr>
            </w:pPr>
            <w:r w:rsidRPr="00E7166A">
              <w:rPr>
                <w:b/>
                <w:color w:val="000000"/>
              </w:rPr>
              <w:t>Service</w:t>
            </w:r>
          </w:p>
        </w:tc>
        <w:tc>
          <w:tcPr>
            <w:tcW w:w="1350"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Persons Served</w:t>
            </w:r>
          </w:p>
        </w:tc>
        <w:tc>
          <w:tcPr>
            <w:tcW w:w="1530"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Units of Service</w:t>
            </w:r>
            <w:r w:rsidRPr="00E7166A">
              <w:rPr>
                <w:rStyle w:val="FootnoteReference"/>
                <w:b/>
              </w:rPr>
              <w:footnoteReference w:id="10"/>
            </w:r>
          </w:p>
        </w:tc>
        <w:tc>
          <w:tcPr>
            <w:tcW w:w="2070"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Title III Expenditure</w:t>
            </w:r>
          </w:p>
        </w:tc>
        <w:tc>
          <w:tcPr>
            <w:tcW w:w="1998" w:type="dxa"/>
            <w:tcBorders>
              <w:top w:val="single" w:sz="8" w:space="0" w:color="auto"/>
              <w:left w:val="single" w:sz="8" w:space="0" w:color="auto"/>
              <w:bottom w:val="single" w:sz="8" w:space="0" w:color="auto"/>
              <w:right w:val="single" w:sz="8" w:space="0" w:color="auto"/>
            </w:tcBorders>
            <w:vAlign w:val="center"/>
          </w:tcPr>
          <w:p w:rsidR="00F749D5" w:rsidRPr="00E7166A" w:rsidRDefault="00F749D5" w:rsidP="00313379">
            <w:pPr>
              <w:jc w:val="center"/>
              <w:rPr>
                <w:b/>
              </w:rPr>
            </w:pPr>
            <w:r w:rsidRPr="00E7166A">
              <w:rPr>
                <w:b/>
              </w:rPr>
              <w:t>Total Expenditure</w:t>
            </w:r>
          </w:p>
        </w:tc>
      </w:tr>
      <w:tr w:rsidR="00F87077" w:rsidRPr="00E7166A" w:rsidTr="008C4CC2">
        <w:tc>
          <w:tcPr>
            <w:tcW w:w="2628" w:type="dxa"/>
            <w:tcBorders>
              <w:top w:val="single" w:sz="8" w:space="0" w:color="auto"/>
            </w:tcBorders>
          </w:tcPr>
          <w:p w:rsidR="00F87077" w:rsidRPr="00E7166A" w:rsidRDefault="00F87077" w:rsidP="002C6960">
            <w:pPr>
              <w:tabs>
                <w:tab w:val="left" w:pos="194"/>
                <w:tab w:val="right" w:pos="5710"/>
              </w:tabs>
              <w:rPr>
                <w:color w:val="000000"/>
              </w:rPr>
            </w:pPr>
            <w:r w:rsidRPr="00E7166A">
              <w:rPr>
                <w:color w:val="000000"/>
              </w:rPr>
              <w:t>Personal Care</w:t>
            </w:r>
          </w:p>
        </w:tc>
        <w:tc>
          <w:tcPr>
            <w:tcW w:w="1350" w:type="dxa"/>
            <w:tcBorders>
              <w:top w:val="single" w:sz="8" w:space="0" w:color="auto"/>
            </w:tcBorders>
          </w:tcPr>
          <w:p w:rsidR="00F87077" w:rsidRPr="00073463" w:rsidRDefault="00F87077" w:rsidP="002A4564">
            <w:pPr>
              <w:jc w:val="right"/>
            </w:pPr>
            <w:r w:rsidRPr="00073463">
              <w:t>112,779</w:t>
            </w:r>
          </w:p>
        </w:tc>
        <w:tc>
          <w:tcPr>
            <w:tcW w:w="1530" w:type="dxa"/>
            <w:tcBorders>
              <w:top w:val="single" w:sz="8" w:space="0" w:color="auto"/>
            </w:tcBorders>
            <w:vAlign w:val="bottom"/>
          </w:tcPr>
          <w:p w:rsidR="00F87077" w:rsidRPr="00073463" w:rsidRDefault="00F87077" w:rsidP="002A4564">
            <w:pPr>
              <w:jc w:val="right"/>
            </w:pPr>
            <w:r w:rsidRPr="00073463">
              <w:t>20,863,822</w:t>
            </w:r>
          </w:p>
        </w:tc>
        <w:tc>
          <w:tcPr>
            <w:tcW w:w="2070" w:type="dxa"/>
            <w:tcBorders>
              <w:top w:val="single" w:sz="8" w:space="0" w:color="auto"/>
            </w:tcBorders>
            <w:vAlign w:val="bottom"/>
          </w:tcPr>
          <w:p w:rsidR="00F87077" w:rsidRPr="00073463" w:rsidRDefault="00F87077" w:rsidP="008C4CC2">
            <w:pPr>
              <w:jc w:val="right"/>
            </w:pPr>
            <w:r w:rsidRPr="00073463">
              <w:rPr>
                <w:color w:val="000000"/>
              </w:rPr>
              <w:t>$54,149,723</w:t>
            </w:r>
          </w:p>
        </w:tc>
        <w:tc>
          <w:tcPr>
            <w:tcW w:w="1998" w:type="dxa"/>
            <w:tcBorders>
              <w:top w:val="single" w:sz="8" w:space="0" w:color="auto"/>
            </w:tcBorders>
            <w:vAlign w:val="bottom"/>
          </w:tcPr>
          <w:p w:rsidR="00F87077" w:rsidRPr="00073463" w:rsidRDefault="00F87077" w:rsidP="008C4CC2">
            <w:pPr>
              <w:jc w:val="right"/>
            </w:pPr>
            <w:r w:rsidRPr="00073463">
              <w:rPr>
                <w:color w:val="000000"/>
              </w:rPr>
              <w:t>$336,773,626</w:t>
            </w:r>
          </w:p>
        </w:tc>
      </w:tr>
      <w:tr w:rsidR="00F87077" w:rsidRPr="00E7166A" w:rsidTr="008C4CC2">
        <w:tc>
          <w:tcPr>
            <w:tcW w:w="2628" w:type="dxa"/>
          </w:tcPr>
          <w:p w:rsidR="00F87077" w:rsidRPr="00E7166A" w:rsidRDefault="00F87077" w:rsidP="002C6960">
            <w:pPr>
              <w:tabs>
                <w:tab w:val="left" w:pos="194"/>
                <w:tab w:val="right" w:pos="5710"/>
              </w:tabs>
              <w:rPr>
                <w:color w:val="000000"/>
              </w:rPr>
            </w:pPr>
            <w:r w:rsidRPr="00E7166A">
              <w:rPr>
                <w:color w:val="000000"/>
              </w:rPr>
              <w:t>Homemaker</w:t>
            </w:r>
          </w:p>
        </w:tc>
        <w:tc>
          <w:tcPr>
            <w:tcW w:w="1350" w:type="dxa"/>
          </w:tcPr>
          <w:p w:rsidR="00F87077" w:rsidRPr="00073463" w:rsidRDefault="00F87077" w:rsidP="002A4564">
            <w:pPr>
              <w:jc w:val="right"/>
            </w:pPr>
            <w:r w:rsidRPr="00073463">
              <w:t>162,400</w:t>
            </w:r>
          </w:p>
        </w:tc>
        <w:tc>
          <w:tcPr>
            <w:tcW w:w="1530" w:type="dxa"/>
            <w:vAlign w:val="bottom"/>
          </w:tcPr>
          <w:p w:rsidR="00F87077" w:rsidRPr="00073463" w:rsidRDefault="00F87077" w:rsidP="002A4564">
            <w:pPr>
              <w:jc w:val="right"/>
            </w:pPr>
            <w:r w:rsidRPr="00073463">
              <w:t>17,061,716</w:t>
            </w:r>
          </w:p>
        </w:tc>
        <w:tc>
          <w:tcPr>
            <w:tcW w:w="2070" w:type="dxa"/>
            <w:vAlign w:val="bottom"/>
          </w:tcPr>
          <w:p w:rsidR="00F87077" w:rsidRPr="00073463" w:rsidRDefault="00F87077" w:rsidP="008C4CC2">
            <w:pPr>
              <w:jc w:val="right"/>
            </w:pPr>
            <w:r w:rsidRPr="00073463">
              <w:rPr>
                <w:color w:val="000000"/>
              </w:rPr>
              <w:t>$29,042,983</w:t>
            </w:r>
          </w:p>
        </w:tc>
        <w:tc>
          <w:tcPr>
            <w:tcW w:w="1998" w:type="dxa"/>
            <w:vAlign w:val="bottom"/>
          </w:tcPr>
          <w:p w:rsidR="00F87077" w:rsidRPr="00073463" w:rsidRDefault="00F87077" w:rsidP="008C4CC2">
            <w:pPr>
              <w:jc w:val="right"/>
            </w:pPr>
            <w:r w:rsidRPr="00073463">
              <w:rPr>
                <w:color w:val="000000"/>
              </w:rPr>
              <w:t>$337,565,931</w:t>
            </w:r>
          </w:p>
        </w:tc>
      </w:tr>
      <w:tr w:rsidR="00F87077" w:rsidRPr="00E7166A" w:rsidTr="008C4CC2">
        <w:tc>
          <w:tcPr>
            <w:tcW w:w="2628" w:type="dxa"/>
          </w:tcPr>
          <w:p w:rsidR="00F87077" w:rsidRPr="00E7166A" w:rsidRDefault="00F87077" w:rsidP="002C6960">
            <w:pPr>
              <w:tabs>
                <w:tab w:val="left" w:pos="194"/>
                <w:tab w:val="right" w:pos="5710"/>
              </w:tabs>
              <w:rPr>
                <w:color w:val="000000"/>
              </w:rPr>
            </w:pPr>
            <w:r w:rsidRPr="00E7166A">
              <w:rPr>
                <w:color w:val="000000"/>
              </w:rPr>
              <w:t>Chore</w:t>
            </w:r>
          </w:p>
        </w:tc>
        <w:tc>
          <w:tcPr>
            <w:tcW w:w="1350" w:type="dxa"/>
          </w:tcPr>
          <w:p w:rsidR="00F87077" w:rsidRPr="00073463" w:rsidRDefault="00F87077" w:rsidP="000D3D91">
            <w:pPr>
              <w:jc w:val="right"/>
            </w:pPr>
            <w:r w:rsidRPr="00073463">
              <w:t>34,485</w:t>
            </w:r>
          </w:p>
        </w:tc>
        <w:tc>
          <w:tcPr>
            <w:tcW w:w="1530" w:type="dxa"/>
            <w:vAlign w:val="bottom"/>
          </w:tcPr>
          <w:p w:rsidR="00F87077" w:rsidRPr="00073463" w:rsidRDefault="00F87077" w:rsidP="002A4564">
            <w:pPr>
              <w:jc w:val="right"/>
            </w:pPr>
            <w:r w:rsidRPr="00073463">
              <w:t>889,030</w:t>
            </w:r>
          </w:p>
        </w:tc>
        <w:tc>
          <w:tcPr>
            <w:tcW w:w="2070" w:type="dxa"/>
            <w:vAlign w:val="bottom"/>
          </w:tcPr>
          <w:p w:rsidR="00F87077" w:rsidRPr="00073463" w:rsidRDefault="00F87077" w:rsidP="008C4CC2">
            <w:pPr>
              <w:jc w:val="right"/>
            </w:pPr>
            <w:r w:rsidRPr="00073463">
              <w:rPr>
                <w:color w:val="000000"/>
              </w:rPr>
              <w:t>$4,596,872</w:t>
            </w:r>
          </w:p>
        </w:tc>
        <w:tc>
          <w:tcPr>
            <w:tcW w:w="1998" w:type="dxa"/>
            <w:vAlign w:val="bottom"/>
          </w:tcPr>
          <w:p w:rsidR="00F87077" w:rsidRPr="00073463" w:rsidRDefault="00F87077" w:rsidP="008C4CC2">
            <w:pPr>
              <w:jc w:val="right"/>
            </w:pPr>
            <w:r w:rsidRPr="00073463">
              <w:rPr>
                <w:color w:val="000000"/>
              </w:rPr>
              <w:t>$19,690,170</w:t>
            </w:r>
          </w:p>
        </w:tc>
      </w:tr>
      <w:tr w:rsidR="00F87077" w:rsidRPr="00E7166A" w:rsidTr="008C4CC2">
        <w:tc>
          <w:tcPr>
            <w:tcW w:w="2628" w:type="dxa"/>
          </w:tcPr>
          <w:p w:rsidR="00F87077" w:rsidRPr="00E7166A" w:rsidRDefault="00F87077" w:rsidP="002C6960">
            <w:pPr>
              <w:tabs>
                <w:tab w:val="left" w:pos="194"/>
                <w:tab w:val="right" w:pos="5710"/>
              </w:tabs>
              <w:rPr>
                <w:color w:val="000000"/>
              </w:rPr>
            </w:pPr>
            <w:r w:rsidRPr="00E7166A">
              <w:rPr>
                <w:color w:val="000000"/>
              </w:rPr>
              <w:t>Home Delivered</w:t>
            </w:r>
            <w:r>
              <w:rPr>
                <w:color w:val="000000"/>
              </w:rPr>
              <w:t xml:space="preserve"> Meals</w:t>
            </w:r>
          </w:p>
        </w:tc>
        <w:tc>
          <w:tcPr>
            <w:tcW w:w="1350" w:type="dxa"/>
          </w:tcPr>
          <w:p w:rsidR="00F87077" w:rsidRPr="00073463" w:rsidRDefault="00F87077" w:rsidP="000D3D91">
            <w:pPr>
              <w:jc w:val="right"/>
            </w:pPr>
            <w:r w:rsidRPr="00073463">
              <w:t>849,051</w:t>
            </w:r>
          </w:p>
        </w:tc>
        <w:tc>
          <w:tcPr>
            <w:tcW w:w="1530" w:type="dxa"/>
            <w:vAlign w:val="bottom"/>
          </w:tcPr>
          <w:p w:rsidR="00F87077" w:rsidRPr="00073463" w:rsidRDefault="00F87077" w:rsidP="002A4564">
            <w:pPr>
              <w:jc w:val="right"/>
            </w:pPr>
            <w:r w:rsidRPr="00073463">
              <w:t>140,566,567</w:t>
            </w:r>
          </w:p>
        </w:tc>
        <w:tc>
          <w:tcPr>
            <w:tcW w:w="2070" w:type="dxa"/>
            <w:vAlign w:val="bottom"/>
          </w:tcPr>
          <w:p w:rsidR="00F87077" w:rsidRPr="00073463" w:rsidRDefault="00F87077" w:rsidP="008C4CC2">
            <w:pPr>
              <w:jc w:val="right"/>
            </w:pPr>
            <w:r w:rsidRPr="00073463">
              <w:rPr>
                <w:color w:val="000000"/>
              </w:rPr>
              <w:t>$263,315,314</w:t>
            </w:r>
          </w:p>
        </w:tc>
        <w:tc>
          <w:tcPr>
            <w:tcW w:w="1998" w:type="dxa"/>
            <w:vAlign w:val="bottom"/>
          </w:tcPr>
          <w:p w:rsidR="00F87077" w:rsidRPr="00073463" w:rsidRDefault="00F87077" w:rsidP="008C4CC2">
            <w:pPr>
              <w:jc w:val="right"/>
            </w:pPr>
            <w:r w:rsidRPr="00073463">
              <w:rPr>
                <w:color w:val="000000"/>
              </w:rPr>
              <w:t>$852,396,699</w:t>
            </w:r>
          </w:p>
        </w:tc>
      </w:tr>
      <w:tr w:rsidR="00F87077" w:rsidRPr="00E7166A" w:rsidTr="008C4CC2">
        <w:tc>
          <w:tcPr>
            <w:tcW w:w="2628" w:type="dxa"/>
          </w:tcPr>
          <w:p w:rsidR="00F87077" w:rsidRPr="00E7166A" w:rsidRDefault="00F87077" w:rsidP="002C6960">
            <w:pPr>
              <w:tabs>
                <w:tab w:val="left" w:pos="194"/>
                <w:tab w:val="right" w:pos="5710"/>
              </w:tabs>
              <w:rPr>
                <w:color w:val="000000"/>
              </w:rPr>
            </w:pPr>
            <w:r w:rsidRPr="00E7166A">
              <w:rPr>
                <w:color w:val="000000"/>
              </w:rPr>
              <w:t>Adult Day Care</w:t>
            </w:r>
          </w:p>
        </w:tc>
        <w:tc>
          <w:tcPr>
            <w:tcW w:w="1350" w:type="dxa"/>
          </w:tcPr>
          <w:p w:rsidR="00F87077" w:rsidRPr="00073463" w:rsidRDefault="00F87077" w:rsidP="002A4564">
            <w:pPr>
              <w:jc w:val="right"/>
            </w:pPr>
            <w:r w:rsidRPr="00073463">
              <w:t>18,103</w:t>
            </w:r>
          </w:p>
        </w:tc>
        <w:tc>
          <w:tcPr>
            <w:tcW w:w="1530" w:type="dxa"/>
            <w:vAlign w:val="bottom"/>
          </w:tcPr>
          <w:p w:rsidR="00F87077" w:rsidRPr="00073463" w:rsidRDefault="00F87077" w:rsidP="002A4564">
            <w:pPr>
              <w:jc w:val="right"/>
            </w:pPr>
            <w:r w:rsidRPr="00073463">
              <w:t>9,948,581</w:t>
            </w:r>
          </w:p>
        </w:tc>
        <w:tc>
          <w:tcPr>
            <w:tcW w:w="2070" w:type="dxa"/>
            <w:vAlign w:val="bottom"/>
          </w:tcPr>
          <w:p w:rsidR="00F87077" w:rsidRPr="00073463" w:rsidRDefault="00F87077" w:rsidP="008C4CC2">
            <w:pPr>
              <w:jc w:val="right"/>
            </w:pPr>
            <w:r w:rsidRPr="00073463">
              <w:rPr>
                <w:color w:val="000000"/>
              </w:rPr>
              <w:t>$12,321,804</w:t>
            </w:r>
          </w:p>
        </w:tc>
        <w:tc>
          <w:tcPr>
            <w:tcW w:w="1998" w:type="dxa"/>
            <w:vAlign w:val="bottom"/>
          </w:tcPr>
          <w:p w:rsidR="00F87077" w:rsidRPr="00073463" w:rsidRDefault="00F87077" w:rsidP="008C4CC2">
            <w:pPr>
              <w:jc w:val="right"/>
            </w:pPr>
            <w:r w:rsidRPr="00073463">
              <w:rPr>
                <w:color w:val="000000"/>
              </w:rPr>
              <w:t>$98,677,744</w:t>
            </w:r>
          </w:p>
        </w:tc>
      </w:tr>
      <w:tr w:rsidR="00F87077" w:rsidRPr="00E7166A" w:rsidTr="008C4CC2">
        <w:tc>
          <w:tcPr>
            <w:tcW w:w="2628" w:type="dxa"/>
          </w:tcPr>
          <w:p w:rsidR="00F87077" w:rsidRPr="00E7166A" w:rsidRDefault="00F87077" w:rsidP="00F02949">
            <w:pPr>
              <w:tabs>
                <w:tab w:val="left" w:pos="194"/>
                <w:tab w:val="right" w:pos="5710"/>
              </w:tabs>
              <w:rPr>
                <w:color w:val="000000"/>
              </w:rPr>
            </w:pPr>
            <w:r w:rsidRPr="00E7166A">
              <w:rPr>
                <w:color w:val="000000"/>
              </w:rPr>
              <w:t>Case M</w:t>
            </w:r>
            <w:r>
              <w:rPr>
                <w:color w:val="000000"/>
              </w:rPr>
              <w:t>anagement</w:t>
            </w:r>
          </w:p>
        </w:tc>
        <w:tc>
          <w:tcPr>
            <w:tcW w:w="1350" w:type="dxa"/>
          </w:tcPr>
          <w:p w:rsidR="00F87077" w:rsidRPr="00073463" w:rsidRDefault="00F87077" w:rsidP="002A4564">
            <w:pPr>
              <w:jc w:val="right"/>
            </w:pPr>
            <w:r w:rsidRPr="00073463">
              <w:t>439,812</w:t>
            </w:r>
          </w:p>
        </w:tc>
        <w:tc>
          <w:tcPr>
            <w:tcW w:w="1530" w:type="dxa"/>
            <w:vAlign w:val="bottom"/>
          </w:tcPr>
          <w:p w:rsidR="00F87077" w:rsidRPr="00073463" w:rsidRDefault="00F87077" w:rsidP="002A4564">
            <w:pPr>
              <w:jc w:val="right"/>
            </w:pPr>
            <w:r w:rsidRPr="00073463">
              <w:t>3,623,855</w:t>
            </w:r>
          </w:p>
        </w:tc>
        <w:tc>
          <w:tcPr>
            <w:tcW w:w="2070" w:type="dxa"/>
            <w:vAlign w:val="bottom"/>
          </w:tcPr>
          <w:p w:rsidR="00F87077" w:rsidRPr="00073463" w:rsidRDefault="00F87077" w:rsidP="008C4CC2">
            <w:pPr>
              <w:jc w:val="right"/>
            </w:pPr>
            <w:r w:rsidRPr="00073463">
              <w:rPr>
                <w:color w:val="000000"/>
              </w:rPr>
              <w:t>$25,074,986</w:t>
            </w:r>
          </w:p>
        </w:tc>
        <w:tc>
          <w:tcPr>
            <w:tcW w:w="1998" w:type="dxa"/>
            <w:vAlign w:val="bottom"/>
          </w:tcPr>
          <w:p w:rsidR="00F87077" w:rsidRPr="00073463" w:rsidRDefault="00F87077" w:rsidP="008C4CC2">
            <w:pPr>
              <w:jc w:val="right"/>
            </w:pPr>
            <w:r w:rsidRPr="00073463">
              <w:rPr>
                <w:color w:val="000000"/>
              </w:rPr>
              <w:t>$244,452,706</w:t>
            </w:r>
          </w:p>
        </w:tc>
      </w:tr>
      <w:tr w:rsidR="00F87077" w:rsidRPr="00E7166A" w:rsidTr="008C4CC2">
        <w:tc>
          <w:tcPr>
            <w:tcW w:w="2628" w:type="dxa"/>
          </w:tcPr>
          <w:p w:rsidR="00F87077" w:rsidRPr="00E7166A" w:rsidRDefault="00F87077" w:rsidP="00F02949">
            <w:pPr>
              <w:tabs>
                <w:tab w:val="left" w:pos="194"/>
                <w:tab w:val="right" w:pos="5710"/>
              </w:tabs>
              <w:rPr>
                <w:color w:val="000000"/>
              </w:rPr>
            </w:pPr>
            <w:r w:rsidRPr="00E7166A">
              <w:rPr>
                <w:color w:val="000000"/>
              </w:rPr>
              <w:t>Assisted Trans</w:t>
            </w:r>
            <w:r>
              <w:rPr>
                <w:color w:val="000000"/>
              </w:rPr>
              <w:t>portation</w:t>
            </w:r>
          </w:p>
        </w:tc>
        <w:tc>
          <w:tcPr>
            <w:tcW w:w="1350" w:type="dxa"/>
          </w:tcPr>
          <w:p w:rsidR="00F87077" w:rsidRPr="00073463" w:rsidRDefault="00F87077" w:rsidP="002A4564">
            <w:pPr>
              <w:jc w:val="right"/>
            </w:pPr>
            <w:r w:rsidRPr="00073463">
              <w:t>48,941</w:t>
            </w:r>
          </w:p>
        </w:tc>
        <w:tc>
          <w:tcPr>
            <w:tcW w:w="1530" w:type="dxa"/>
            <w:vAlign w:val="bottom"/>
          </w:tcPr>
          <w:p w:rsidR="00F87077" w:rsidRPr="00073463" w:rsidRDefault="00F87077" w:rsidP="002A4564">
            <w:pPr>
              <w:jc w:val="right"/>
            </w:pPr>
            <w:r w:rsidRPr="00073463">
              <w:t>2,213,215</w:t>
            </w:r>
          </w:p>
        </w:tc>
        <w:tc>
          <w:tcPr>
            <w:tcW w:w="2070" w:type="dxa"/>
            <w:vAlign w:val="bottom"/>
          </w:tcPr>
          <w:p w:rsidR="00F87077" w:rsidRPr="00073463" w:rsidRDefault="00F87077" w:rsidP="008C4CC2">
            <w:pPr>
              <w:jc w:val="right"/>
            </w:pPr>
            <w:r w:rsidRPr="00073463">
              <w:rPr>
                <w:color w:val="000000"/>
              </w:rPr>
              <w:t>$4,310,309</w:t>
            </w:r>
          </w:p>
        </w:tc>
        <w:tc>
          <w:tcPr>
            <w:tcW w:w="1998" w:type="dxa"/>
            <w:vAlign w:val="bottom"/>
          </w:tcPr>
          <w:p w:rsidR="00F87077" w:rsidRPr="00073463" w:rsidRDefault="00F87077" w:rsidP="008C4CC2">
            <w:pPr>
              <w:jc w:val="right"/>
            </w:pPr>
            <w:r w:rsidRPr="00073463">
              <w:rPr>
                <w:color w:val="000000"/>
              </w:rPr>
              <w:t>$26,316,510</w:t>
            </w:r>
          </w:p>
        </w:tc>
      </w:tr>
      <w:tr w:rsidR="00F87077" w:rsidRPr="00E7166A" w:rsidTr="008C4CC2">
        <w:trPr>
          <w:trHeight w:val="215"/>
        </w:trPr>
        <w:tc>
          <w:tcPr>
            <w:tcW w:w="2628" w:type="dxa"/>
          </w:tcPr>
          <w:p w:rsidR="00F87077" w:rsidRPr="00E65D9B" w:rsidRDefault="00F87077" w:rsidP="002C6960">
            <w:pPr>
              <w:tabs>
                <w:tab w:val="left" w:pos="194"/>
                <w:tab w:val="right" w:pos="5710"/>
              </w:tabs>
              <w:rPr>
                <w:color w:val="000000"/>
              </w:rPr>
            </w:pPr>
            <w:r w:rsidRPr="00E65D9B">
              <w:rPr>
                <w:color w:val="000000"/>
              </w:rPr>
              <w:t>Congregate</w:t>
            </w:r>
            <w:r>
              <w:rPr>
                <w:color w:val="000000"/>
              </w:rPr>
              <w:t xml:space="preserve"> Meals</w:t>
            </w:r>
          </w:p>
        </w:tc>
        <w:tc>
          <w:tcPr>
            <w:tcW w:w="1350" w:type="dxa"/>
          </w:tcPr>
          <w:p w:rsidR="00F87077" w:rsidRPr="00073463" w:rsidRDefault="00F87077" w:rsidP="002A4564">
            <w:pPr>
              <w:jc w:val="right"/>
            </w:pPr>
            <w:r w:rsidRPr="00073463">
              <w:t>1,562,235</w:t>
            </w:r>
          </w:p>
        </w:tc>
        <w:tc>
          <w:tcPr>
            <w:tcW w:w="1530" w:type="dxa"/>
            <w:vAlign w:val="bottom"/>
          </w:tcPr>
          <w:p w:rsidR="00F87077" w:rsidRPr="00073463" w:rsidRDefault="00F87077" w:rsidP="002A4564">
            <w:pPr>
              <w:jc w:val="right"/>
            </w:pPr>
            <w:r w:rsidRPr="00073463">
              <w:t>78,984,927</w:t>
            </w:r>
          </w:p>
        </w:tc>
        <w:tc>
          <w:tcPr>
            <w:tcW w:w="2070" w:type="dxa"/>
            <w:vAlign w:val="bottom"/>
          </w:tcPr>
          <w:p w:rsidR="00F87077" w:rsidRPr="00073463" w:rsidRDefault="00F87077" w:rsidP="008C4CC2">
            <w:pPr>
              <w:jc w:val="right"/>
            </w:pPr>
            <w:r w:rsidRPr="00073463">
              <w:rPr>
                <w:color w:val="000000"/>
              </w:rPr>
              <w:t>$277,415,355</w:t>
            </w:r>
          </w:p>
        </w:tc>
        <w:tc>
          <w:tcPr>
            <w:tcW w:w="1998" w:type="dxa"/>
            <w:vAlign w:val="bottom"/>
          </w:tcPr>
          <w:p w:rsidR="00F87077" w:rsidRPr="00073463" w:rsidRDefault="00F87077" w:rsidP="008C4CC2">
            <w:pPr>
              <w:jc w:val="right"/>
            </w:pPr>
            <w:r w:rsidRPr="00073463">
              <w:rPr>
                <w:color w:val="000000"/>
              </w:rPr>
              <w:t>$642,724,929</w:t>
            </w:r>
          </w:p>
        </w:tc>
      </w:tr>
      <w:tr w:rsidR="00F87077" w:rsidRPr="00E7166A" w:rsidTr="008C4CC2">
        <w:tc>
          <w:tcPr>
            <w:tcW w:w="2628" w:type="dxa"/>
          </w:tcPr>
          <w:p w:rsidR="00F87077" w:rsidRPr="00E7166A" w:rsidRDefault="00F87077" w:rsidP="002C6960">
            <w:pPr>
              <w:tabs>
                <w:tab w:val="left" w:pos="194"/>
                <w:tab w:val="right" w:pos="5710"/>
              </w:tabs>
              <w:rPr>
                <w:color w:val="000000"/>
              </w:rPr>
            </w:pPr>
            <w:r w:rsidRPr="00E7166A">
              <w:rPr>
                <w:color w:val="000000"/>
              </w:rPr>
              <w:t>Nutrition Counseling</w:t>
            </w:r>
          </w:p>
        </w:tc>
        <w:tc>
          <w:tcPr>
            <w:tcW w:w="1350" w:type="dxa"/>
            <w:tcBorders>
              <w:bottom w:val="single" w:sz="4" w:space="0" w:color="auto"/>
            </w:tcBorders>
            <w:vAlign w:val="bottom"/>
          </w:tcPr>
          <w:p w:rsidR="00F87077" w:rsidRPr="00073463" w:rsidRDefault="00F87077" w:rsidP="000D3D91">
            <w:pPr>
              <w:jc w:val="right"/>
              <w:rPr>
                <w:color w:val="000000"/>
              </w:rPr>
            </w:pPr>
            <w:r w:rsidRPr="00073463">
              <w:rPr>
                <w:color w:val="000000"/>
              </w:rPr>
              <w:t>35,578</w:t>
            </w:r>
          </w:p>
        </w:tc>
        <w:tc>
          <w:tcPr>
            <w:tcW w:w="1530" w:type="dxa"/>
            <w:vAlign w:val="bottom"/>
          </w:tcPr>
          <w:p w:rsidR="00F87077" w:rsidRPr="00073463" w:rsidRDefault="00F87077" w:rsidP="00F87077">
            <w:pPr>
              <w:jc w:val="right"/>
            </w:pPr>
            <w:r w:rsidRPr="00073463">
              <w:t>74,646</w:t>
            </w:r>
          </w:p>
        </w:tc>
        <w:tc>
          <w:tcPr>
            <w:tcW w:w="2070" w:type="dxa"/>
            <w:vAlign w:val="bottom"/>
          </w:tcPr>
          <w:p w:rsidR="00F87077" w:rsidRPr="00073463" w:rsidRDefault="00F87077" w:rsidP="008C4CC2">
            <w:pPr>
              <w:jc w:val="right"/>
            </w:pPr>
            <w:r w:rsidRPr="00073463">
              <w:rPr>
                <w:color w:val="000000"/>
              </w:rPr>
              <w:t>$1,250,570</w:t>
            </w:r>
          </w:p>
        </w:tc>
        <w:tc>
          <w:tcPr>
            <w:tcW w:w="1998" w:type="dxa"/>
            <w:vAlign w:val="bottom"/>
          </w:tcPr>
          <w:p w:rsidR="00F87077" w:rsidRPr="00073463" w:rsidRDefault="00F87077" w:rsidP="008C4CC2">
            <w:pPr>
              <w:jc w:val="right"/>
            </w:pPr>
            <w:r w:rsidRPr="00073463">
              <w:rPr>
                <w:color w:val="000000"/>
              </w:rPr>
              <w:t>$2,716,157</w:t>
            </w:r>
          </w:p>
        </w:tc>
      </w:tr>
      <w:tr w:rsidR="00F87077" w:rsidRPr="00E7166A" w:rsidTr="008C4CC2">
        <w:tc>
          <w:tcPr>
            <w:tcW w:w="2628" w:type="dxa"/>
            <w:tcBorders>
              <w:right w:val="single" w:sz="4" w:space="0" w:color="auto"/>
            </w:tcBorders>
          </w:tcPr>
          <w:p w:rsidR="00F87077" w:rsidRPr="00E7166A" w:rsidRDefault="00F87077" w:rsidP="002C6960">
            <w:pPr>
              <w:shd w:val="clear" w:color="auto" w:fill="FFFFFF"/>
            </w:pPr>
            <w:r w:rsidRPr="00E7166A">
              <w:rPr>
                <w:color w:val="000000"/>
                <w:spacing w:val="-6"/>
              </w:rPr>
              <w:t>Transportation</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F87077" w:rsidRPr="00073463" w:rsidRDefault="00F87077" w:rsidP="002A4564">
            <w:pPr>
              <w:tabs>
                <w:tab w:val="left" w:pos="194"/>
                <w:tab w:val="right" w:pos="5710"/>
              </w:tabs>
              <w:jc w:val="right"/>
              <w:rPr>
                <w:color w:val="000000"/>
              </w:rPr>
            </w:pPr>
          </w:p>
        </w:tc>
        <w:tc>
          <w:tcPr>
            <w:tcW w:w="1530" w:type="dxa"/>
            <w:tcBorders>
              <w:left w:val="single" w:sz="4" w:space="0" w:color="auto"/>
            </w:tcBorders>
            <w:vAlign w:val="bottom"/>
          </w:tcPr>
          <w:p w:rsidR="00F87077" w:rsidRPr="00073463" w:rsidRDefault="00F87077" w:rsidP="002A4564">
            <w:pPr>
              <w:jc w:val="right"/>
            </w:pPr>
            <w:r w:rsidRPr="00073463">
              <w:t>23,318,905</w:t>
            </w:r>
          </w:p>
        </w:tc>
        <w:tc>
          <w:tcPr>
            <w:tcW w:w="2070" w:type="dxa"/>
            <w:vAlign w:val="bottom"/>
          </w:tcPr>
          <w:p w:rsidR="00F87077" w:rsidRPr="00073463" w:rsidRDefault="00F87077" w:rsidP="008C4CC2">
            <w:pPr>
              <w:jc w:val="right"/>
            </w:pPr>
            <w:r w:rsidRPr="00073463">
              <w:rPr>
                <w:color w:val="000000"/>
              </w:rPr>
              <w:t>$62,396,486</w:t>
            </w:r>
          </w:p>
        </w:tc>
        <w:tc>
          <w:tcPr>
            <w:tcW w:w="1998" w:type="dxa"/>
            <w:vAlign w:val="bottom"/>
          </w:tcPr>
          <w:p w:rsidR="00F87077" w:rsidRPr="00073463" w:rsidRDefault="00F87077" w:rsidP="008C4CC2">
            <w:pPr>
              <w:jc w:val="right"/>
            </w:pPr>
            <w:r w:rsidRPr="00073463">
              <w:rPr>
                <w:color w:val="000000"/>
              </w:rPr>
              <w:t>$201,634,235</w:t>
            </w:r>
          </w:p>
        </w:tc>
      </w:tr>
      <w:tr w:rsidR="005150FB" w:rsidRPr="00E7166A" w:rsidTr="008C4CC2">
        <w:tc>
          <w:tcPr>
            <w:tcW w:w="2628" w:type="dxa"/>
            <w:tcBorders>
              <w:right w:val="single" w:sz="4" w:space="0" w:color="auto"/>
            </w:tcBorders>
          </w:tcPr>
          <w:p w:rsidR="005150FB" w:rsidRPr="00E7166A" w:rsidRDefault="005150FB" w:rsidP="002C6960">
            <w:pPr>
              <w:shd w:val="clear" w:color="auto" w:fill="FFFFFF"/>
            </w:pPr>
            <w:r w:rsidRPr="00E7166A">
              <w:rPr>
                <w:color w:val="000000"/>
                <w:spacing w:val="-6"/>
              </w:rPr>
              <w:t>Legal Assistance</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5150FB" w:rsidRPr="00073463" w:rsidRDefault="005150FB" w:rsidP="002A4564">
            <w:pPr>
              <w:tabs>
                <w:tab w:val="left" w:pos="194"/>
                <w:tab w:val="right" w:pos="5710"/>
              </w:tabs>
              <w:jc w:val="right"/>
              <w:rPr>
                <w:color w:val="000000"/>
              </w:rPr>
            </w:pPr>
          </w:p>
        </w:tc>
        <w:tc>
          <w:tcPr>
            <w:tcW w:w="1530" w:type="dxa"/>
            <w:tcBorders>
              <w:left w:val="single" w:sz="4" w:space="0" w:color="auto"/>
            </w:tcBorders>
            <w:vAlign w:val="bottom"/>
          </w:tcPr>
          <w:p w:rsidR="005150FB" w:rsidRPr="00073463" w:rsidRDefault="005150FB" w:rsidP="002A4564">
            <w:pPr>
              <w:jc w:val="right"/>
            </w:pPr>
            <w:r w:rsidRPr="00073463">
              <w:rPr>
                <w:color w:val="000000"/>
              </w:rPr>
              <w:t>933,481</w:t>
            </w:r>
          </w:p>
        </w:tc>
        <w:tc>
          <w:tcPr>
            <w:tcW w:w="2070" w:type="dxa"/>
            <w:vAlign w:val="bottom"/>
          </w:tcPr>
          <w:p w:rsidR="005150FB" w:rsidRPr="00073463" w:rsidRDefault="005150FB" w:rsidP="008C4CC2">
            <w:pPr>
              <w:jc w:val="right"/>
            </w:pPr>
            <w:r w:rsidRPr="00073463">
              <w:rPr>
                <w:color w:val="000000"/>
              </w:rPr>
              <w:t>$26,460,825</w:t>
            </w:r>
          </w:p>
        </w:tc>
        <w:tc>
          <w:tcPr>
            <w:tcW w:w="1998" w:type="dxa"/>
            <w:vAlign w:val="bottom"/>
          </w:tcPr>
          <w:p w:rsidR="005150FB" w:rsidRPr="00073463" w:rsidRDefault="005150FB" w:rsidP="008C4CC2">
            <w:pPr>
              <w:jc w:val="right"/>
            </w:pPr>
            <w:r w:rsidRPr="00073463">
              <w:rPr>
                <w:color w:val="000000"/>
              </w:rPr>
              <w:t>$49,510,096</w:t>
            </w:r>
          </w:p>
        </w:tc>
      </w:tr>
      <w:tr w:rsidR="005150FB" w:rsidRPr="00E7166A" w:rsidTr="008C4CC2">
        <w:tc>
          <w:tcPr>
            <w:tcW w:w="2628" w:type="dxa"/>
            <w:tcBorders>
              <w:right w:val="single" w:sz="4" w:space="0" w:color="auto"/>
            </w:tcBorders>
          </w:tcPr>
          <w:p w:rsidR="005150FB" w:rsidRPr="00E7166A" w:rsidRDefault="005150FB" w:rsidP="00F02949">
            <w:pPr>
              <w:shd w:val="clear" w:color="auto" w:fill="FFFFFF"/>
            </w:pPr>
            <w:r w:rsidRPr="00E7166A">
              <w:rPr>
                <w:color w:val="000000"/>
                <w:spacing w:val="-7"/>
              </w:rPr>
              <w:t>Nutr</w:t>
            </w:r>
            <w:r>
              <w:rPr>
                <w:color w:val="000000"/>
                <w:spacing w:val="-7"/>
              </w:rPr>
              <w:t>ition</w:t>
            </w:r>
            <w:r w:rsidRPr="00E7166A">
              <w:rPr>
                <w:color w:val="000000"/>
                <w:spacing w:val="-7"/>
              </w:rPr>
              <w:t xml:space="preserve"> Education</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5150FB" w:rsidRPr="00073463" w:rsidRDefault="005150FB" w:rsidP="002A4564">
            <w:pPr>
              <w:tabs>
                <w:tab w:val="left" w:pos="194"/>
                <w:tab w:val="right" w:pos="5710"/>
              </w:tabs>
              <w:jc w:val="right"/>
              <w:rPr>
                <w:color w:val="000000"/>
              </w:rPr>
            </w:pPr>
          </w:p>
        </w:tc>
        <w:tc>
          <w:tcPr>
            <w:tcW w:w="1530" w:type="dxa"/>
            <w:tcBorders>
              <w:left w:val="single" w:sz="4" w:space="0" w:color="auto"/>
            </w:tcBorders>
            <w:vAlign w:val="bottom"/>
          </w:tcPr>
          <w:p w:rsidR="005150FB" w:rsidRPr="00073463" w:rsidRDefault="005150FB" w:rsidP="002A4564">
            <w:pPr>
              <w:jc w:val="right"/>
            </w:pPr>
            <w:r w:rsidRPr="00073463">
              <w:rPr>
                <w:color w:val="000000"/>
              </w:rPr>
              <w:t>3,324,491</w:t>
            </w:r>
          </w:p>
        </w:tc>
        <w:tc>
          <w:tcPr>
            <w:tcW w:w="2070" w:type="dxa"/>
            <w:vAlign w:val="bottom"/>
          </w:tcPr>
          <w:p w:rsidR="005150FB" w:rsidRPr="00073463" w:rsidRDefault="005150FB" w:rsidP="008C4CC2">
            <w:pPr>
              <w:jc w:val="right"/>
            </w:pPr>
            <w:r w:rsidRPr="00073463">
              <w:rPr>
                <w:color w:val="000000"/>
              </w:rPr>
              <w:t>$3,623,516</w:t>
            </w:r>
          </w:p>
        </w:tc>
        <w:tc>
          <w:tcPr>
            <w:tcW w:w="1998" w:type="dxa"/>
            <w:vAlign w:val="bottom"/>
          </w:tcPr>
          <w:p w:rsidR="005150FB" w:rsidRPr="00073463" w:rsidRDefault="005150FB" w:rsidP="008C4CC2">
            <w:pPr>
              <w:jc w:val="right"/>
            </w:pPr>
            <w:r w:rsidRPr="00073463">
              <w:rPr>
                <w:color w:val="000000"/>
              </w:rPr>
              <w:t>$6,237,524</w:t>
            </w:r>
          </w:p>
        </w:tc>
      </w:tr>
      <w:tr w:rsidR="005150FB" w:rsidRPr="00E7166A" w:rsidTr="008C4CC2">
        <w:tc>
          <w:tcPr>
            <w:tcW w:w="2628" w:type="dxa"/>
            <w:tcBorders>
              <w:right w:val="single" w:sz="4" w:space="0" w:color="auto"/>
            </w:tcBorders>
          </w:tcPr>
          <w:p w:rsidR="005150FB" w:rsidRPr="00E7166A" w:rsidRDefault="005150FB" w:rsidP="00F02949">
            <w:pPr>
              <w:shd w:val="clear" w:color="auto" w:fill="FFFFFF"/>
            </w:pPr>
            <w:r w:rsidRPr="00E7166A">
              <w:rPr>
                <w:color w:val="000000"/>
              </w:rPr>
              <w:t>I</w:t>
            </w:r>
            <w:r>
              <w:rPr>
                <w:color w:val="000000"/>
              </w:rPr>
              <w:t>nformation and Assistance</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5150FB" w:rsidRPr="00073463" w:rsidRDefault="005150FB" w:rsidP="002A4564">
            <w:pPr>
              <w:tabs>
                <w:tab w:val="left" w:pos="194"/>
                <w:tab w:val="right" w:pos="5710"/>
              </w:tabs>
              <w:jc w:val="right"/>
              <w:rPr>
                <w:color w:val="000000"/>
              </w:rPr>
            </w:pPr>
          </w:p>
        </w:tc>
        <w:tc>
          <w:tcPr>
            <w:tcW w:w="1530" w:type="dxa"/>
            <w:tcBorders>
              <w:left w:val="single" w:sz="4" w:space="0" w:color="auto"/>
            </w:tcBorders>
            <w:vAlign w:val="bottom"/>
          </w:tcPr>
          <w:p w:rsidR="005150FB" w:rsidRPr="00073463" w:rsidRDefault="005150FB" w:rsidP="002A4564">
            <w:pPr>
              <w:jc w:val="right"/>
            </w:pPr>
            <w:r w:rsidRPr="00073463">
              <w:rPr>
                <w:color w:val="000000"/>
              </w:rPr>
              <w:t>12,627,783</w:t>
            </w:r>
          </w:p>
        </w:tc>
        <w:tc>
          <w:tcPr>
            <w:tcW w:w="2070" w:type="dxa"/>
            <w:vAlign w:val="bottom"/>
          </w:tcPr>
          <w:p w:rsidR="005150FB" w:rsidRPr="00073463" w:rsidRDefault="005150FB" w:rsidP="008C4CC2">
            <w:pPr>
              <w:jc w:val="right"/>
            </w:pPr>
            <w:r w:rsidRPr="00073463">
              <w:rPr>
                <w:color w:val="000000"/>
              </w:rPr>
              <w:t>$59,257,891</w:t>
            </w:r>
          </w:p>
        </w:tc>
        <w:tc>
          <w:tcPr>
            <w:tcW w:w="1998" w:type="dxa"/>
            <w:vAlign w:val="bottom"/>
          </w:tcPr>
          <w:p w:rsidR="005150FB" w:rsidRPr="00073463" w:rsidRDefault="005150FB" w:rsidP="008C4CC2">
            <w:pPr>
              <w:jc w:val="right"/>
            </w:pPr>
            <w:r w:rsidRPr="00073463">
              <w:rPr>
                <w:color w:val="000000"/>
              </w:rPr>
              <w:t>$181,809,168</w:t>
            </w:r>
          </w:p>
        </w:tc>
      </w:tr>
      <w:tr w:rsidR="005150FB" w:rsidRPr="00E7166A" w:rsidTr="008C4CC2">
        <w:tc>
          <w:tcPr>
            <w:tcW w:w="2628" w:type="dxa"/>
            <w:tcBorders>
              <w:right w:val="single" w:sz="4" w:space="0" w:color="auto"/>
            </w:tcBorders>
          </w:tcPr>
          <w:p w:rsidR="005150FB" w:rsidRPr="00E7166A" w:rsidRDefault="005150FB" w:rsidP="002C6960">
            <w:pPr>
              <w:shd w:val="clear" w:color="auto" w:fill="FFFFFF"/>
            </w:pPr>
            <w:r w:rsidRPr="00E7166A">
              <w:rPr>
                <w:color w:val="000000"/>
                <w:spacing w:val="-9"/>
              </w:rPr>
              <w:t>Outreach</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5150FB" w:rsidRPr="00073463" w:rsidRDefault="005150FB" w:rsidP="002A4564">
            <w:pPr>
              <w:tabs>
                <w:tab w:val="left" w:pos="194"/>
                <w:tab w:val="right" w:pos="5710"/>
              </w:tabs>
              <w:jc w:val="right"/>
              <w:rPr>
                <w:color w:val="000000"/>
              </w:rPr>
            </w:pPr>
          </w:p>
        </w:tc>
        <w:tc>
          <w:tcPr>
            <w:tcW w:w="1530" w:type="dxa"/>
            <w:tcBorders>
              <w:left w:val="single" w:sz="4" w:space="0" w:color="auto"/>
              <w:bottom w:val="single" w:sz="4" w:space="0" w:color="auto"/>
            </w:tcBorders>
            <w:vAlign w:val="bottom"/>
          </w:tcPr>
          <w:p w:rsidR="005150FB" w:rsidRPr="00073463" w:rsidRDefault="005150FB" w:rsidP="002A4564">
            <w:pPr>
              <w:jc w:val="right"/>
            </w:pPr>
            <w:r w:rsidRPr="00073463">
              <w:rPr>
                <w:color w:val="000000"/>
              </w:rPr>
              <w:t>1,880,314</w:t>
            </w:r>
          </w:p>
        </w:tc>
        <w:tc>
          <w:tcPr>
            <w:tcW w:w="2070" w:type="dxa"/>
            <w:vAlign w:val="bottom"/>
          </w:tcPr>
          <w:p w:rsidR="005150FB" w:rsidRPr="00073463" w:rsidRDefault="005150FB" w:rsidP="008C4CC2">
            <w:pPr>
              <w:jc w:val="right"/>
            </w:pPr>
            <w:r w:rsidRPr="00073463">
              <w:rPr>
                <w:color w:val="000000"/>
              </w:rPr>
              <w:t>$9,182,065</w:t>
            </w:r>
          </w:p>
        </w:tc>
        <w:tc>
          <w:tcPr>
            <w:tcW w:w="1998" w:type="dxa"/>
            <w:vAlign w:val="bottom"/>
          </w:tcPr>
          <w:p w:rsidR="005150FB" w:rsidRPr="00073463" w:rsidRDefault="005150FB" w:rsidP="008C4CC2">
            <w:pPr>
              <w:jc w:val="right"/>
            </w:pPr>
            <w:r w:rsidRPr="00073463">
              <w:rPr>
                <w:color w:val="000000"/>
              </w:rPr>
              <w:t>$20,401,786</w:t>
            </w:r>
          </w:p>
        </w:tc>
      </w:tr>
      <w:tr w:rsidR="008C4CC2" w:rsidRPr="00155D0B" w:rsidTr="008C4CC2">
        <w:tc>
          <w:tcPr>
            <w:tcW w:w="2628" w:type="dxa"/>
            <w:tcBorders>
              <w:right w:val="single" w:sz="4" w:space="0" w:color="auto"/>
            </w:tcBorders>
          </w:tcPr>
          <w:p w:rsidR="008C4CC2" w:rsidRPr="00E7166A" w:rsidRDefault="008C4CC2" w:rsidP="00313379">
            <w:pPr>
              <w:shd w:val="clear" w:color="auto" w:fill="FFFFFF"/>
              <w:rPr>
                <w:color w:val="000000"/>
                <w:spacing w:val="-8"/>
              </w:rPr>
            </w:pPr>
            <w:r>
              <w:rPr>
                <w:color w:val="000000"/>
                <w:spacing w:val="-8"/>
              </w:rPr>
              <w:t>Health Promotion and Disease Prevention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5150FB" w:rsidRPr="00073463" w:rsidRDefault="005150FB" w:rsidP="005150FB">
            <w:pPr>
              <w:jc w:val="right"/>
              <w:rPr>
                <w:color w:val="000000"/>
              </w:rPr>
            </w:pPr>
            <w:r w:rsidRPr="00073463">
              <w:rPr>
                <w:color w:val="000000"/>
              </w:rPr>
              <w:t>1,469,726</w:t>
            </w:r>
          </w:p>
          <w:p w:rsidR="008C4CC2" w:rsidRPr="00073463" w:rsidRDefault="008C4CC2" w:rsidP="002A4564">
            <w:pPr>
              <w:jc w:val="right"/>
              <w:rPr>
                <w:color w:val="000000"/>
              </w:rPr>
            </w:pPr>
          </w:p>
        </w:tc>
        <w:tc>
          <w:tcPr>
            <w:tcW w:w="1530" w:type="dxa"/>
            <w:tcBorders>
              <w:left w:val="single" w:sz="4" w:space="0" w:color="auto"/>
              <w:bottom w:val="single" w:sz="4" w:space="0" w:color="auto"/>
            </w:tcBorders>
            <w:shd w:val="clear" w:color="auto" w:fill="D9D9D9"/>
            <w:vAlign w:val="bottom"/>
          </w:tcPr>
          <w:p w:rsidR="008C4CC2" w:rsidRPr="00073463" w:rsidRDefault="008C4CC2" w:rsidP="002A4564">
            <w:pPr>
              <w:tabs>
                <w:tab w:val="left" w:pos="194"/>
                <w:tab w:val="right" w:pos="5710"/>
              </w:tabs>
              <w:spacing w:line="238" w:lineRule="exact"/>
              <w:jc w:val="right"/>
              <w:rPr>
                <w:color w:val="000000"/>
              </w:rPr>
            </w:pPr>
          </w:p>
        </w:tc>
        <w:tc>
          <w:tcPr>
            <w:tcW w:w="2070" w:type="dxa"/>
            <w:vAlign w:val="bottom"/>
          </w:tcPr>
          <w:p w:rsidR="005150FB" w:rsidRPr="00073463" w:rsidRDefault="005150FB" w:rsidP="005150FB">
            <w:pPr>
              <w:jc w:val="right"/>
              <w:rPr>
                <w:color w:val="000000"/>
              </w:rPr>
            </w:pPr>
            <w:r w:rsidRPr="00073463">
              <w:rPr>
                <w:color w:val="000000"/>
              </w:rPr>
              <w:t>$20,761,438</w:t>
            </w:r>
          </w:p>
          <w:p w:rsidR="008C4CC2" w:rsidRPr="00073463" w:rsidRDefault="008C4CC2" w:rsidP="008C4CC2">
            <w:pPr>
              <w:jc w:val="right"/>
            </w:pPr>
          </w:p>
        </w:tc>
        <w:tc>
          <w:tcPr>
            <w:tcW w:w="1998" w:type="dxa"/>
            <w:vAlign w:val="bottom"/>
          </w:tcPr>
          <w:p w:rsidR="005150FB" w:rsidRPr="00073463" w:rsidRDefault="005150FB" w:rsidP="005150FB">
            <w:pPr>
              <w:jc w:val="right"/>
              <w:rPr>
                <w:color w:val="000000"/>
              </w:rPr>
            </w:pPr>
            <w:r w:rsidRPr="00073463">
              <w:rPr>
                <w:color w:val="000000"/>
              </w:rPr>
              <w:t>$51,091,734</w:t>
            </w:r>
          </w:p>
          <w:p w:rsidR="008C4CC2" w:rsidRPr="00073463" w:rsidRDefault="008C4CC2" w:rsidP="008C4CC2">
            <w:pPr>
              <w:jc w:val="right"/>
            </w:pPr>
          </w:p>
        </w:tc>
      </w:tr>
      <w:tr w:rsidR="005150FB" w:rsidRPr="00155D0B" w:rsidTr="008C4CC2">
        <w:tc>
          <w:tcPr>
            <w:tcW w:w="2628" w:type="dxa"/>
            <w:tcBorders>
              <w:right w:val="single" w:sz="4" w:space="0" w:color="auto"/>
            </w:tcBorders>
          </w:tcPr>
          <w:p w:rsidR="005150FB" w:rsidRPr="00E7166A" w:rsidRDefault="005150FB" w:rsidP="00313379">
            <w:pPr>
              <w:shd w:val="clear" w:color="auto" w:fill="FFFFFF"/>
              <w:rPr>
                <w:color w:val="000000"/>
                <w:spacing w:val="-8"/>
              </w:rPr>
            </w:pPr>
            <w:r>
              <w:rPr>
                <w:color w:val="000000"/>
                <w:spacing w:val="-8"/>
              </w:rPr>
              <w:t>Self-Directed Care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5150FB" w:rsidRPr="00073463" w:rsidRDefault="005150FB">
            <w:pPr>
              <w:jc w:val="right"/>
              <w:rPr>
                <w:color w:val="000000"/>
              </w:rPr>
            </w:pPr>
            <w:r w:rsidRPr="00073463">
              <w:rPr>
                <w:color w:val="000000"/>
              </w:rPr>
              <w:t>2,376</w:t>
            </w:r>
          </w:p>
        </w:tc>
        <w:tc>
          <w:tcPr>
            <w:tcW w:w="1530" w:type="dxa"/>
            <w:tcBorders>
              <w:top w:val="single" w:sz="4" w:space="0" w:color="auto"/>
              <w:left w:val="single" w:sz="4" w:space="0" w:color="auto"/>
              <w:bottom w:val="single" w:sz="4" w:space="0" w:color="auto"/>
            </w:tcBorders>
            <w:shd w:val="clear" w:color="auto" w:fill="D9D9D9"/>
          </w:tcPr>
          <w:p w:rsidR="005150FB" w:rsidRPr="00073463" w:rsidRDefault="005150FB" w:rsidP="00313379">
            <w:pPr>
              <w:tabs>
                <w:tab w:val="left" w:pos="194"/>
                <w:tab w:val="right" w:pos="5710"/>
              </w:tabs>
              <w:spacing w:line="238" w:lineRule="exact"/>
              <w:rPr>
                <w:color w:val="000000"/>
              </w:rPr>
            </w:pPr>
          </w:p>
        </w:tc>
        <w:tc>
          <w:tcPr>
            <w:tcW w:w="2070" w:type="dxa"/>
            <w:vAlign w:val="bottom"/>
          </w:tcPr>
          <w:p w:rsidR="005150FB" w:rsidRPr="00073463" w:rsidRDefault="005150FB" w:rsidP="008C4CC2">
            <w:pPr>
              <w:jc w:val="right"/>
            </w:pPr>
            <w:r w:rsidRPr="00073463">
              <w:rPr>
                <w:color w:val="000000"/>
              </w:rPr>
              <w:t>$188,413</w:t>
            </w:r>
          </w:p>
        </w:tc>
        <w:tc>
          <w:tcPr>
            <w:tcW w:w="1998" w:type="dxa"/>
            <w:vAlign w:val="bottom"/>
          </w:tcPr>
          <w:p w:rsidR="005150FB" w:rsidRPr="00073463" w:rsidRDefault="005150FB" w:rsidP="008C4CC2">
            <w:pPr>
              <w:jc w:val="right"/>
            </w:pPr>
            <w:r w:rsidRPr="00073463">
              <w:rPr>
                <w:color w:val="000000"/>
              </w:rPr>
              <w:t>$15,049,959</w:t>
            </w:r>
          </w:p>
        </w:tc>
      </w:tr>
      <w:tr w:rsidR="005150FB" w:rsidRPr="00155D0B" w:rsidTr="008C4CC2">
        <w:tc>
          <w:tcPr>
            <w:tcW w:w="2628" w:type="dxa"/>
            <w:tcBorders>
              <w:right w:val="single" w:sz="4" w:space="0" w:color="auto"/>
            </w:tcBorders>
          </w:tcPr>
          <w:p w:rsidR="005150FB" w:rsidRPr="00E7166A" w:rsidRDefault="005150FB" w:rsidP="00313379">
            <w:pPr>
              <w:shd w:val="clear" w:color="auto" w:fill="FFFFFF"/>
            </w:pPr>
            <w:r w:rsidRPr="00E7166A">
              <w:rPr>
                <w:color w:val="000000"/>
                <w:spacing w:val="-8"/>
              </w:rPr>
              <w:t>Other</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5150FB" w:rsidRPr="00073463" w:rsidRDefault="005150FB" w:rsidP="00313379">
            <w:pPr>
              <w:tabs>
                <w:tab w:val="left" w:pos="194"/>
                <w:tab w:val="right" w:pos="5710"/>
              </w:tabs>
              <w:spacing w:line="238" w:lineRule="exact"/>
              <w:rPr>
                <w:color w:val="000000"/>
              </w:rPr>
            </w:pPr>
          </w:p>
        </w:tc>
        <w:tc>
          <w:tcPr>
            <w:tcW w:w="1530" w:type="dxa"/>
            <w:tcBorders>
              <w:top w:val="single" w:sz="4" w:space="0" w:color="auto"/>
              <w:left w:val="single" w:sz="4" w:space="0" w:color="auto"/>
            </w:tcBorders>
            <w:shd w:val="clear" w:color="auto" w:fill="E6E6E6"/>
          </w:tcPr>
          <w:p w:rsidR="005150FB" w:rsidRPr="00073463" w:rsidRDefault="005150FB" w:rsidP="00313379">
            <w:pPr>
              <w:tabs>
                <w:tab w:val="left" w:pos="194"/>
                <w:tab w:val="right" w:pos="5710"/>
              </w:tabs>
              <w:spacing w:line="238" w:lineRule="exact"/>
              <w:rPr>
                <w:color w:val="000000"/>
              </w:rPr>
            </w:pPr>
          </w:p>
        </w:tc>
        <w:tc>
          <w:tcPr>
            <w:tcW w:w="2070" w:type="dxa"/>
            <w:vAlign w:val="bottom"/>
          </w:tcPr>
          <w:p w:rsidR="005150FB" w:rsidRPr="00073463" w:rsidRDefault="005150FB" w:rsidP="008C4CC2">
            <w:pPr>
              <w:jc w:val="right"/>
            </w:pPr>
            <w:r w:rsidRPr="00073463">
              <w:rPr>
                <w:color w:val="000000"/>
              </w:rPr>
              <w:t>$67,960,406</w:t>
            </w:r>
          </w:p>
        </w:tc>
        <w:tc>
          <w:tcPr>
            <w:tcW w:w="1998" w:type="dxa"/>
            <w:vAlign w:val="bottom"/>
          </w:tcPr>
          <w:p w:rsidR="005150FB" w:rsidRPr="00073463" w:rsidRDefault="005150FB" w:rsidP="008C4CC2">
            <w:pPr>
              <w:jc w:val="right"/>
            </w:pPr>
            <w:r w:rsidRPr="00073463">
              <w:rPr>
                <w:color w:val="000000"/>
              </w:rPr>
              <w:t>$431,332,440</w:t>
            </w:r>
          </w:p>
        </w:tc>
      </w:tr>
    </w:tbl>
    <w:p w:rsidR="00F749D5" w:rsidRPr="00AE5090" w:rsidRDefault="00F749D5" w:rsidP="00F749D5">
      <w:pPr>
        <w:shd w:val="clear" w:color="auto" w:fill="FFFFFF"/>
        <w:jc w:val="center"/>
        <w:rPr>
          <w:b/>
          <w:bCs/>
          <w:color w:val="000000"/>
          <w:spacing w:val="-7"/>
          <w:sz w:val="28"/>
          <w:szCs w:val="28"/>
        </w:rPr>
      </w:pPr>
      <w:r>
        <w:rPr>
          <w:b/>
          <w:sz w:val="28"/>
          <w:szCs w:val="28"/>
        </w:rPr>
        <w:br w:type="page"/>
      </w:r>
      <w:r w:rsidR="003179D6" w:rsidRPr="00AE5090">
        <w:rPr>
          <w:b/>
          <w:bCs/>
          <w:color w:val="000000"/>
          <w:spacing w:val="-7"/>
          <w:sz w:val="28"/>
          <w:szCs w:val="28"/>
        </w:rPr>
        <w:lastRenderedPageBreak/>
        <w:t xml:space="preserve">National Family Caregiver Support Program </w:t>
      </w:r>
    </w:p>
    <w:p w:rsidR="00F749D5" w:rsidRPr="00155D0B" w:rsidRDefault="00F749D5" w:rsidP="00F749D5">
      <w:pPr>
        <w:shd w:val="clear" w:color="auto" w:fill="FFFFFF"/>
        <w:rPr>
          <w:b/>
          <w:bCs/>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1620"/>
        <w:gridCol w:w="1710"/>
        <w:gridCol w:w="1818"/>
      </w:tblGrid>
      <w:tr w:rsidR="00A40C6F" w:rsidRPr="00155D0B" w:rsidTr="002C6960">
        <w:tc>
          <w:tcPr>
            <w:tcW w:w="2988" w:type="dxa"/>
            <w:vAlign w:val="center"/>
          </w:tcPr>
          <w:p w:rsidR="00F749D5" w:rsidRPr="00AE5090" w:rsidRDefault="00F749D5" w:rsidP="007B7698">
            <w:pPr>
              <w:shd w:val="clear" w:color="auto" w:fill="FFFFFF"/>
              <w:spacing w:line="209" w:lineRule="exact"/>
              <w:ind w:right="259"/>
              <w:jc w:val="center"/>
              <w:rPr>
                <w:b/>
                <w:color w:val="000000"/>
                <w:spacing w:val="-7"/>
              </w:rPr>
            </w:pPr>
            <w:r w:rsidRPr="00AE5090">
              <w:rPr>
                <w:b/>
                <w:color w:val="000000"/>
                <w:spacing w:val="-7"/>
              </w:rPr>
              <w:t>Service</w:t>
            </w:r>
          </w:p>
        </w:tc>
        <w:tc>
          <w:tcPr>
            <w:tcW w:w="1440" w:type="dxa"/>
            <w:vAlign w:val="center"/>
          </w:tcPr>
          <w:p w:rsidR="00F749D5" w:rsidRPr="00AE5090" w:rsidRDefault="00F749D5" w:rsidP="007B7698">
            <w:pPr>
              <w:jc w:val="center"/>
              <w:rPr>
                <w:b/>
              </w:rPr>
            </w:pPr>
            <w:r w:rsidRPr="00AE5090">
              <w:rPr>
                <w:b/>
              </w:rPr>
              <w:t>Caregivers Served</w:t>
            </w:r>
          </w:p>
        </w:tc>
        <w:tc>
          <w:tcPr>
            <w:tcW w:w="1620" w:type="dxa"/>
            <w:vAlign w:val="center"/>
          </w:tcPr>
          <w:p w:rsidR="00F749D5" w:rsidRPr="00AE5090" w:rsidRDefault="00F749D5" w:rsidP="007B7698">
            <w:pPr>
              <w:jc w:val="center"/>
              <w:rPr>
                <w:b/>
              </w:rPr>
            </w:pPr>
            <w:r w:rsidRPr="00AE5090">
              <w:rPr>
                <w:b/>
              </w:rPr>
              <w:t>Service Units</w:t>
            </w:r>
            <w:r w:rsidRPr="00AE5090">
              <w:rPr>
                <w:rStyle w:val="FootnoteReference"/>
                <w:b/>
              </w:rPr>
              <w:footnoteReference w:id="11"/>
            </w:r>
          </w:p>
        </w:tc>
        <w:tc>
          <w:tcPr>
            <w:tcW w:w="1710" w:type="dxa"/>
            <w:vAlign w:val="center"/>
          </w:tcPr>
          <w:p w:rsidR="00F749D5" w:rsidRPr="00AE5090" w:rsidRDefault="00F749D5" w:rsidP="007B7698">
            <w:pPr>
              <w:jc w:val="center"/>
              <w:rPr>
                <w:b/>
              </w:rPr>
            </w:pPr>
            <w:r w:rsidRPr="00AE5090">
              <w:rPr>
                <w:b/>
              </w:rPr>
              <w:t>Title III Expenditure</w:t>
            </w:r>
          </w:p>
        </w:tc>
        <w:tc>
          <w:tcPr>
            <w:tcW w:w="1818" w:type="dxa"/>
            <w:vAlign w:val="center"/>
          </w:tcPr>
          <w:p w:rsidR="00F749D5" w:rsidRPr="00AE5090" w:rsidRDefault="00F749D5" w:rsidP="00A40C6F">
            <w:pPr>
              <w:jc w:val="center"/>
              <w:rPr>
                <w:b/>
              </w:rPr>
            </w:pPr>
            <w:r w:rsidRPr="00AE5090">
              <w:rPr>
                <w:b/>
              </w:rPr>
              <w:t>Total Expenditure</w:t>
            </w:r>
          </w:p>
        </w:tc>
      </w:tr>
      <w:tr w:rsidR="000816BA" w:rsidRPr="00155D0B" w:rsidTr="0072537B">
        <w:tc>
          <w:tcPr>
            <w:tcW w:w="2988" w:type="dxa"/>
            <w:vAlign w:val="center"/>
          </w:tcPr>
          <w:p w:rsidR="000816BA" w:rsidRPr="00AE5090" w:rsidRDefault="000816BA" w:rsidP="00500A53">
            <w:pPr>
              <w:shd w:val="clear" w:color="auto" w:fill="FFFFFF"/>
              <w:ind w:right="259"/>
            </w:pPr>
            <w:r w:rsidRPr="00AE5090">
              <w:rPr>
                <w:color w:val="000000"/>
              </w:rPr>
              <w:t>Counseling, Support Groups, Training</w:t>
            </w:r>
          </w:p>
        </w:tc>
        <w:tc>
          <w:tcPr>
            <w:tcW w:w="1440" w:type="dxa"/>
            <w:vAlign w:val="bottom"/>
          </w:tcPr>
          <w:p w:rsidR="000816BA" w:rsidRPr="00AE5090" w:rsidRDefault="000816BA">
            <w:pPr>
              <w:jc w:val="right"/>
              <w:rPr>
                <w:color w:val="000000"/>
              </w:rPr>
            </w:pPr>
            <w:r w:rsidRPr="00AE5090">
              <w:rPr>
                <w:color w:val="000000"/>
              </w:rPr>
              <w:t>116,297</w:t>
            </w:r>
          </w:p>
        </w:tc>
        <w:tc>
          <w:tcPr>
            <w:tcW w:w="1620" w:type="dxa"/>
            <w:vAlign w:val="bottom"/>
          </w:tcPr>
          <w:p w:rsidR="000816BA" w:rsidRPr="00AE5090" w:rsidRDefault="000816BA">
            <w:pPr>
              <w:jc w:val="right"/>
              <w:rPr>
                <w:color w:val="000000"/>
              </w:rPr>
            </w:pPr>
            <w:r w:rsidRPr="00AE5090">
              <w:rPr>
                <w:color w:val="000000"/>
              </w:rPr>
              <w:t>431,994</w:t>
            </w:r>
          </w:p>
        </w:tc>
        <w:tc>
          <w:tcPr>
            <w:tcW w:w="1710" w:type="dxa"/>
            <w:vAlign w:val="bottom"/>
          </w:tcPr>
          <w:p w:rsidR="000816BA" w:rsidRPr="00AE5090" w:rsidRDefault="000816BA">
            <w:pPr>
              <w:jc w:val="right"/>
              <w:rPr>
                <w:color w:val="000000"/>
              </w:rPr>
            </w:pPr>
            <w:r w:rsidRPr="00AE5090">
              <w:rPr>
                <w:color w:val="000000"/>
              </w:rPr>
              <w:t>$20,474,216</w:t>
            </w:r>
          </w:p>
        </w:tc>
        <w:tc>
          <w:tcPr>
            <w:tcW w:w="1818" w:type="dxa"/>
            <w:vAlign w:val="bottom"/>
          </w:tcPr>
          <w:p w:rsidR="000816BA" w:rsidRPr="00AE5090" w:rsidRDefault="000816BA">
            <w:pPr>
              <w:jc w:val="right"/>
              <w:rPr>
                <w:color w:val="000000"/>
              </w:rPr>
            </w:pPr>
            <w:r w:rsidRPr="00AE5090">
              <w:rPr>
                <w:color w:val="000000"/>
              </w:rPr>
              <w:t>$29,775,579</w:t>
            </w:r>
          </w:p>
        </w:tc>
      </w:tr>
      <w:tr w:rsidR="000816BA" w:rsidRPr="00155D0B" w:rsidTr="0072537B">
        <w:tc>
          <w:tcPr>
            <w:tcW w:w="2988" w:type="dxa"/>
            <w:vAlign w:val="center"/>
          </w:tcPr>
          <w:p w:rsidR="000816BA" w:rsidRPr="00AE5090" w:rsidRDefault="000816BA" w:rsidP="00500A53">
            <w:pPr>
              <w:shd w:val="clear" w:color="auto" w:fill="FFFFFF"/>
              <w:rPr>
                <w:color w:val="000000"/>
              </w:rPr>
            </w:pPr>
            <w:r w:rsidRPr="00AE5090">
              <w:rPr>
                <w:color w:val="000000"/>
              </w:rPr>
              <w:t>Respite</w:t>
            </w:r>
          </w:p>
        </w:tc>
        <w:tc>
          <w:tcPr>
            <w:tcW w:w="1440" w:type="dxa"/>
            <w:vAlign w:val="bottom"/>
          </w:tcPr>
          <w:p w:rsidR="000816BA" w:rsidRPr="00AE5090" w:rsidRDefault="000816BA">
            <w:pPr>
              <w:jc w:val="right"/>
              <w:rPr>
                <w:color w:val="000000"/>
              </w:rPr>
            </w:pPr>
            <w:r w:rsidRPr="00AE5090">
              <w:rPr>
                <w:color w:val="000000"/>
              </w:rPr>
              <w:t>66,808</w:t>
            </w:r>
          </w:p>
        </w:tc>
        <w:tc>
          <w:tcPr>
            <w:tcW w:w="1620" w:type="dxa"/>
            <w:vAlign w:val="bottom"/>
          </w:tcPr>
          <w:p w:rsidR="000816BA" w:rsidRPr="00AE5090" w:rsidRDefault="000816BA">
            <w:pPr>
              <w:jc w:val="right"/>
              <w:rPr>
                <w:color w:val="000000"/>
              </w:rPr>
            </w:pPr>
            <w:r w:rsidRPr="00AE5090">
              <w:rPr>
                <w:color w:val="000000"/>
              </w:rPr>
              <w:t>6,233,867</w:t>
            </w:r>
          </w:p>
        </w:tc>
        <w:tc>
          <w:tcPr>
            <w:tcW w:w="1710" w:type="dxa"/>
            <w:vAlign w:val="bottom"/>
          </w:tcPr>
          <w:p w:rsidR="000816BA" w:rsidRPr="00AE5090" w:rsidRDefault="000816BA">
            <w:pPr>
              <w:jc w:val="right"/>
              <w:rPr>
                <w:color w:val="000000"/>
              </w:rPr>
            </w:pPr>
            <w:r w:rsidRPr="00AE5090">
              <w:rPr>
                <w:color w:val="000000"/>
              </w:rPr>
              <w:t>$52,254,644</w:t>
            </w:r>
          </w:p>
        </w:tc>
        <w:tc>
          <w:tcPr>
            <w:tcW w:w="1818" w:type="dxa"/>
            <w:vAlign w:val="bottom"/>
          </w:tcPr>
          <w:p w:rsidR="000816BA" w:rsidRPr="00AE5090" w:rsidRDefault="000816BA">
            <w:pPr>
              <w:jc w:val="right"/>
              <w:rPr>
                <w:color w:val="000000"/>
              </w:rPr>
            </w:pPr>
            <w:r w:rsidRPr="00AE5090">
              <w:rPr>
                <w:color w:val="000000"/>
              </w:rPr>
              <w:t>$92,594,130</w:t>
            </w:r>
          </w:p>
        </w:tc>
      </w:tr>
      <w:tr w:rsidR="000816BA" w:rsidRPr="00155D0B" w:rsidTr="0072537B">
        <w:tc>
          <w:tcPr>
            <w:tcW w:w="2988" w:type="dxa"/>
            <w:vAlign w:val="center"/>
          </w:tcPr>
          <w:p w:rsidR="000816BA" w:rsidRPr="00AE5090" w:rsidRDefault="000816BA" w:rsidP="00500A53">
            <w:pPr>
              <w:shd w:val="clear" w:color="auto" w:fill="FFFFFF"/>
              <w:ind w:right="461"/>
            </w:pPr>
            <w:r w:rsidRPr="00AE5090">
              <w:rPr>
                <w:color w:val="000000"/>
              </w:rPr>
              <w:t>Supplemental Services</w:t>
            </w:r>
          </w:p>
        </w:tc>
        <w:tc>
          <w:tcPr>
            <w:tcW w:w="1440" w:type="dxa"/>
            <w:vAlign w:val="bottom"/>
          </w:tcPr>
          <w:p w:rsidR="000816BA" w:rsidRPr="00AE5090" w:rsidRDefault="000816BA">
            <w:pPr>
              <w:jc w:val="right"/>
              <w:rPr>
                <w:color w:val="000000"/>
              </w:rPr>
            </w:pPr>
            <w:r w:rsidRPr="00AE5090">
              <w:rPr>
                <w:color w:val="000000"/>
              </w:rPr>
              <w:t>40,553</w:t>
            </w:r>
          </w:p>
        </w:tc>
        <w:tc>
          <w:tcPr>
            <w:tcW w:w="1620" w:type="dxa"/>
            <w:vAlign w:val="bottom"/>
          </w:tcPr>
          <w:p w:rsidR="000816BA" w:rsidRPr="00AE5090" w:rsidRDefault="000816BA">
            <w:pPr>
              <w:jc w:val="right"/>
              <w:rPr>
                <w:color w:val="000000"/>
              </w:rPr>
            </w:pPr>
            <w:r w:rsidRPr="00AE5090">
              <w:rPr>
                <w:color w:val="000000"/>
              </w:rPr>
              <w:t>664,545</w:t>
            </w:r>
          </w:p>
        </w:tc>
        <w:tc>
          <w:tcPr>
            <w:tcW w:w="1710" w:type="dxa"/>
            <w:vAlign w:val="bottom"/>
          </w:tcPr>
          <w:p w:rsidR="000816BA" w:rsidRPr="00AE5090" w:rsidRDefault="000816BA">
            <w:pPr>
              <w:jc w:val="right"/>
              <w:rPr>
                <w:color w:val="000000"/>
              </w:rPr>
            </w:pPr>
            <w:r w:rsidRPr="00AE5090">
              <w:rPr>
                <w:color w:val="000000"/>
              </w:rPr>
              <w:t>$11,389,463</w:t>
            </w:r>
          </w:p>
        </w:tc>
        <w:tc>
          <w:tcPr>
            <w:tcW w:w="1818" w:type="dxa"/>
            <w:vAlign w:val="bottom"/>
          </w:tcPr>
          <w:p w:rsidR="000816BA" w:rsidRPr="00AE5090" w:rsidRDefault="000816BA">
            <w:pPr>
              <w:jc w:val="right"/>
              <w:rPr>
                <w:color w:val="000000"/>
              </w:rPr>
            </w:pPr>
            <w:r w:rsidRPr="00AE5090">
              <w:rPr>
                <w:color w:val="000000"/>
              </w:rPr>
              <w:t>$16,413,947</w:t>
            </w:r>
          </w:p>
        </w:tc>
      </w:tr>
      <w:tr w:rsidR="000816BA" w:rsidRPr="00155D0B" w:rsidTr="00AE5090">
        <w:tc>
          <w:tcPr>
            <w:tcW w:w="2988" w:type="dxa"/>
            <w:vAlign w:val="center"/>
          </w:tcPr>
          <w:p w:rsidR="000816BA" w:rsidRPr="00AE5090" w:rsidRDefault="000816BA" w:rsidP="00500A53">
            <w:pPr>
              <w:shd w:val="clear" w:color="auto" w:fill="FFFFFF"/>
              <w:ind w:right="677"/>
            </w:pPr>
            <w:r w:rsidRPr="00AE5090">
              <w:rPr>
                <w:color w:val="000000"/>
              </w:rPr>
              <w:t>Access Assistance</w:t>
            </w:r>
          </w:p>
        </w:tc>
        <w:tc>
          <w:tcPr>
            <w:tcW w:w="1440" w:type="dxa"/>
            <w:vAlign w:val="bottom"/>
          </w:tcPr>
          <w:p w:rsidR="000816BA" w:rsidRPr="00AE5090" w:rsidRDefault="008D069E" w:rsidP="00B02228">
            <w:pPr>
              <w:jc w:val="right"/>
              <w:rPr>
                <w:color w:val="000000"/>
              </w:rPr>
            </w:pPr>
            <w:r w:rsidRPr="00AE5090">
              <w:rPr>
                <w:color w:val="000000"/>
              </w:rPr>
              <w:t>518,038</w:t>
            </w:r>
          </w:p>
        </w:tc>
        <w:tc>
          <w:tcPr>
            <w:tcW w:w="1620" w:type="dxa"/>
          </w:tcPr>
          <w:p w:rsidR="000816BA" w:rsidRPr="00AE5090" w:rsidRDefault="000816BA" w:rsidP="000816BA">
            <w:pPr>
              <w:jc w:val="right"/>
              <w:rPr>
                <w:color w:val="000000"/>
              </w:rPr>
            </w:pPr>
            <w:r w:rsidRPr="00AE5090">
              <w:rPr>
                <w:color w:val="000000"/>
              </w:rPr>
              <w:t>1,148,616</w:t>
            </w:r>
          </w:p>
          <w:p w:rsidR="000816BA" w:rsidRPr="00AE5090" w:rsidRDefault="000816BA" w:rsidP="00B02228">
            <w:pPr>
              <w:jc w:val="right"/>
              <w:rPr>
                <w:color w:val="000000"/>
              </w:rPr>
            </w:pPr>
          </w:p>
        </w:tc>
        <w:tc>
          <w:tcPr>
            <w:tcW w:w="1710" w:type="dxa"/>
            <w:vAlign w:val="center"/>
          </w:tcPr>
          <w:p w:rsidR="000816BA" w:rsidRPr="00AE5090" w:rsidRDefault="000816BA" w:rsidP="000816BA">
            <w:pPr>
              <w:jc w:val="right"/>
              <w:rPr>
                <w:color w:val="000000"/>
              </w:rPr>
            </w:pPr>
            <w:r w:rsidRPr="00AE5090">
              <w:rPr>
                <w:color w:val="000000"/>
              </w:rPr>
              <w:t>$30,049,111</w:t>
            </w:r>
          </w:p>
          <w:p w:rsidR="000816BA" w:rsidRPr="00AE5090" w:rsidRDefault="000816BA" w:rsidP="00B02228">
            <w:pPr>
              <w:jc w:val="right"/>
              <w:rPr>
                <w:color w:val="000000"/>
              </w:rPr>
            </w:pPr>
          </w:p>
        </w:tc>
        <w:tc>
          <w:tcPr>
            <w:tcW w:w="1818" w:type="dxa"/>
            <w:vAlign w:val="bottom"/>
          </w:tcPr>
          <w:p w:rsidR="000816BA" w:rsidRPr="00AE5090" w:rsidRDefault="008D069E" w:rsidP="008D069E">
            <w:pPr>
              <w:jc w:val="right"/>
              <w:rPr>
                <w:color w:val="000000"/>
              </w:rPr>
            </w:pPr>
            <w:r w:rsidRPr="00AE5090">
              <w:rPr>
                <w:color w:val="000000"/>
              </w:rPr>
              <w:t>$43,745,506</w:t>
            </w:r>
          </w:p>
        </w:tc>
      </w:tr>
      <w:tr w:rsidR="005150FB" w:rsidRPr="00CF01D7" w:rsidTr="00AE5090">
        <w:tc>
          <w:tcPr>
            <w:tcW w:w="2988" w:type="dxa"/>
            <w:vAlign w:val="center"/>
          </w:tcPr>
          <w:p w:rsidR="005150FB" w:rsidRPr="00AE5090" w:rsidRDefault="005150FB" w:rsidP="00500A53">
            <w:pPr>
              <w:shd w:val="clear" w:color="auto" w:fill="FFFFFF"/>
              <w:rPr>
                <w:color w:val="000000"/>
              </w:rPr>
            </w:pPr>
            <w:r w:rsidRPr="00AE5090">
              <w:rPr>
                <w:color w:val="000000"/>
              </w:rPr>
              <w:t>Self-Directed</w:t>
            </w:r>
          </w:p>
        </w:tc>
        <w:tc>
          <w:tcPr>
            <w:tcW w:w="1440" w:type="dxa"/>
            <w:vAlign w:val="bottom"/>
          </w:tcPr>
          <w:p w:rsidR="008D069E" w:rsidRPr="00AE5090" w:rsidRDefault="008D069E" w:rsidP="008D069E">
            <w:pPr>
              <w:jc w:val="right"/>
              <w:rPr>
                <w:color w:val="000000"/>
              </w:rPr>
            </w:pPr>
            <w:r w:rsidRPr="00AE5090">
              <w:rPr>
                <w:color w:val="000000"/>
              </w:rPr>
              <w:t>1,409</w:t>
            </w:r>
          </w:p>
          <w:p w:rsidR="005150FB" w:rsidRPr="00AE5090" w:rsidRDefault="005150FB" w:rsidP="00696329">
            <w:pPr>
              <w:jc w:val="right"/>
              <w:rPr>
                <w:color w:val="000000"/>
              </w:rPr>
            </w:pPr>
          </w:p>
        </w:tc>
        <w:tc>
          <w:tcPr>
            <w:tcW w:w="1620" w:type="dxa"/>
            <w:shd w:val="clear" w:color="auto" w:fill="D9D9D9"/>
          </w:tcPr>
          <w:p w:rsidR="005150FB" w:rsidRPr="00AE5090" w:rsidRDefault="005150FB" w:rsidP="00313379">
            <w:pPr>
              <w:jc w:val="center"/>
            </w:pPr>
          </w:p>
        </w:tc>
        <w:tc>
          <w:tcPr>
            <w:tcW w:w="1710" w:type="dxa"/>
          </w:tcPr>
          <w:p w:rsidR="000816BA" w:rsidRPr="00AE5090" w:rsidRDefault="000816BA" w:rsidP="000816BA">
            <w:pPr>
              <w:jc w:val="right"/>
              <w:rPr>
                <w:color w:val="000000"/>
              </w:rPr>
            </w:pPr>
            <w:r w:rsidRPr="00AE5090">
              <w:rPr>
                <w:color w:val="000000"/>
              </w:rPr>
              <w:t>$1,449,181</w:t>
            </w:r>
          </w:p>
          <w:p w:rsidR="005150FB" w:rsidRPr="00AE5090" w:rsidRDefault="005150FB" w:rsidP="00B02228">
            <w:pPr>
              <w:jc w:val="right"/>
              <w:rPr>
                <w:color w:val="000000"/>
              </w:rPr>
            </w:pPr>
          </w:p>
        </w:tc>
        <w:tc>
          <w:tcPr>
            <w:tcW w:w="1818" w:type="dxa"/>
          </w:tcPr>
          <w:p w:rsidR="008D069E" w:rsidRPr="00AE5090" w:rsidRDefault="008D069E" w:rsidP="008D069E">
            <w:pPr>
              <w:jc w:val="right"/>
              <w:rPr>
                <w:color w:val="000000"/>
              </w:rPr>
            </w:pPr>
            <w:r w:rsidRPr="00AE5090">
              <w:rPr>
                <w:color w:val="000000"/>
              </w:rPr>
              <w:t>$2,037,733</w:t>
            </w:r>
          </w:p>
          <w:p w:rsidR="005150FB" w:rsidRPr="00AE5090" w:rsidRDefault="005150FB" w:rsidP="00B02228">
            <w:pPr>
              <w:jc w:val="right"/>
              <w:rPr>
                <w:color w:val="000000"/>
              </w:rPr>
            </w:pPr>
          </w:p>
        </w:tc>
      </w:tr>
      <w:tr w:rsidR="005150FB" w:rsidRPr="00CF01D7" w:rsidTr="00AE5090">
        <w:tc>
          <w:tcPr>
            <w:tcW w:w="2988" w:type="dxa"/>
            <w:vAlign w:val="center"/>
          </w:tcPr>
          <w:p w:rsidR="005150FB" w:rsidRPr="00AE5090" w:rsidRDefault="005150FB" w:rsidP="00500A53">
            <w:pPr>
              <w:shd w:val="clear" w:color="auto" w:fill="FFFFFF"/>
              <w:rPr>
                <w:color w:val="000000"/>
              </w:rPr>
            </w:pPr>
            <w:r w:rsidRPr="00AE5090">
              <w:rPr>
                <w:color w:val="000000"/>
              </w:rPr>
              <w:t>Information Services</w:t>
            </w:r>
          </w:p>
        </w:tc>
        <w:tc>
          <w:tcPr>
            <w:tcW w:w="1440" w:type="dxa"/>
            <w:vAlign w:val="bottom"/>
          </w:tcPr>
          <w:p w:rsidR="005150FB" w:rsidRPr="00AE5090" w:rsidRDefault="005150FB" w:rsidP="00696329">
            <w:pPr>
              <w:jc w:val="right"/>
              <w:rPr>
                <w:color w:val="000000"/>
              </w:rPr>
            </w:pPr>
            <w:r w:rsidRPr="00AE5090">
              <w:rPr>
                <w:color w:val="000000"/>
              </w:rPr>
              <w:t>16,017,125</w:t>
            </w:r>
          </w:p>
        </w:tc>
        <w:tc>
          <w:tcPr>
            <w:tcW w:w="1620" w:type="dxa"/>
            <w:vAlign w:val="bottom"/>
          </w:tcPr>
          <w:p w:rsidR="000816BA" w:rsidRPr="00AE5090" w:rsidRDefault="000816BA" w:rsidP="000816BA">
            <w:pPr>
              <w:jc w:val="right"/>
              <w:rPr>
                <w:color w:val="000000"/>
              </w:rPr>
            </w:pPr>
            <w:r w:rsidRPr="00AE5090">
              <w:rPr>
                <w:color w:val="000000"/>
              </w:rPr>
              <w:t>818,705</w:t>
            </w:r>
          </w:p>
          <w:p w:rsidR="005150FB" w:rsidRPr="00AE5090" w:rsidRDefault="005150FB" w:rsidP="00B02228">
            <w:pPr>
              <w:jc w:val="right"/>
              <w:rPr>
                <w:color w:val="000000"/>
              </w:rPr>
            </w:pPr>
          </w:p>
        </w:tc>
        <w:tc>
          <w:tcPr>
            <w:tcW w:w="1710" w:type="dxa"/>
            <w:vAlign w:val="bottom"/>
          </w:tcPr>
          <w:p w:rsidR="005150FB" w:rsidRPr="00AE5090" w:rsidRDefault="008D069E" w:rsidP="00B02228">
            <w:pPr>
              <w:jc w:val="right"/>
              <w:rPr>
                <w:color w:val="000000"/>
              </w:rPr>
            </w:pPr>
            <w:r w:rsidRPr="00AE5090">
              <w:rPr>
                <w:color w:val="000000"/>
              </w:rPr>
              <w:t>$11,636,551</w:t>
            </w:r>
          </w:p>
        </w:tc>
        <w:tc>
          <w:tcPr>
            <w:tcW w:w="1818" w:type="dxa"/>
            <w:vAlign w:val="bottom"/>
          </w:tcPr>
          <w:p w:rsidR="008D069E" w:rsidRPr="00AE5090" w:rsidRDefault="008D069E" w:rsidP="008D069E">
            <w:pPr>
              <w:jc w:val="right"/>
              <w:rPr>
                <w:color w:val="000000"/>
              </w:rPr>
            </w:pPr>
            <w:r w:rsidRPr="00AE5090">
              <w:rPr>
                <w:color w:val="000000"/>
              </w:rPr>
              <w:t>$17,224,513</w:t>
            </w:r>
          </w:p>
          <w:p w:rsidR="005150FB" w:rsidRPr="00AE5090" w:rsidRDefault="005150FB" w:rsidP="00B02228">
            <w:pPr>
              <w:jc w:val="right"/>
              <w:rPr>
                <w:color w:val="000000"/>
              </w:rPr>
            </w:pPr>
          </w:p>
        </w:tc>
      </w:tr>
      <w:tr w:rsidR="00A40C6F" w:rsidRPr="00CF01D7" w:rsidTr="002C6960">
        <w:tc>
          <w:tcPr>
            <w:tcW w:w="2988" w:type="dxa"/>
            <w:vAlign w:val="center"/>
          </w:tcPr>
          <w:p w:rsidR="007C2DED" w:rsidRPr="00AE5090" w:rsidRDefault="007C2DED" w:rsidP="00500A53">
            <w:pPr>
              <w:shd w:val="clear" w:color="auto" w:fill="FFFFFF"/>
              <w:rPr>
                <w:color w:val="000000"/>
              </w:rPr>
            </w:pPr>
            <w:r w:rsidRPr="00AE5090">
              <w:rPr>
                <w:color w:val="000000"/>
              </w:rPr>
              <w:t>Unduplicated Caregivers Provided Service or Access</w:t>
            </w:r>
          </w:p>
        </w:tc>
        <w:tc>
          <w:tcPr>
            <w:tcW w:w="1440" w:type="dxa"/>
            <w:vAlign w:val="center"/>
          </w:tcPr>
          <w:p w:rsidR="000816BA" w:rsidRPr="00AE5090" w:rsidRDefault="000816BA" w:rsidP="000816BA">
            <w:pPr>
              <w:jc w:val="right"/>
              <w:rPr>
                <w:color w:val="000000"/>
              </w:rPr>
            </w:pPr>
            <w:r w:rsidRPr="00AE5090">
              <w:rPr>
                <w:color w:val="000000"/>
              </w:rPr>
              <w:t>715,174</w:t>
            </w:r>
          </w:p>
          <w:p w:rsidR="00A47668" w:rsidRPr="00AE5090" w:rsidRDefault="00A47668" w:rsidP="00B02228">
            <w:pPr>
              <w:jc w:val="right"/>
              <w:rPr>
                <w:color w:val="000000"/>
              </w:rPr>
            </w:pPr>
          </w:p>
        </w:tc>
        <w:tc>
          <w:tcPr>
            <w:tcW w:w="1620" w:type="dxa"/>
            <w:shd w:val="clear" w:color="auto" w:fill="D9D9D9"/>
          </w:tcPr>
          <w:p w:rsidR="007C2DED" w:rsidRPr="00AE5090" w:rsidRDefault="007C2DED" w:rsidP="00313379">
            <w:pPr>
              <w:jc w:val="center"/>
              <w:rPr>
                <w:b/>
              </w:rPr>
            </w:pPr>
          </w:p>
        </w:tc>
        <w:tc>
          <w:tcPr>
            <w:tcW w:w="1710" w:type="dxa"/>
            <w:shd w:val="clear" w:color="auto" w:fill="D9D9D9"/>
          </w:tcPr>
          <w:p w:rsidR="007C2DED" w:rsidRPr="00AE5090" w:rsidRDefault="007C2DED" w:rsidP="00313379">
            <w:pPr>
              <w:jc w:val="center"/>
              <w:rPr>
                <w:b/>
              </w:rPr>
            </w:pPr>
          </w:p>
        </w:tc>
        <w:tc>
          <w:tcPr>
            <w:tcW w:w="1818" w:type="dxa"/>
            <w:shd w:val="clear" w:color="auto" w:fill="D9D9D9"/>
          </w:tcPr>
          <w:p w:rsidR="007C2DED" w:rsidRPr="00AE5090" w:rsidRDefault="007C2DED" w:rsidP="00313379">
            <w:pPr>
              <w:jc w:val="center"/>
              <w:rPr>
                <w:b/>
              </w:rPr>
            </w:pPr>
          </w:p>
        </w:tc>
      </w:tr>
    </w:tbl>
    <w:p w:rsidR="00F749D5" w:rsidRPr="00CF01D7" w:rsidRDefault="00F749D5" w:rsidP="00F749D5">
      <w:pPr>
        <w:shd w:val="clear" w:color="auto" w:fill="FFFFFF"/>
        <w:rPr>
          <w:b/>
          <w:bCs/>
          <w:color w:val="000000"/>
          <w:spacing w:val="-7"/>
        </w:rPr>
      </w:pPr>
    </w:p>
    <w:p w:rsidR="002A79C5" w:rsidRDefault="00F749D5" w:rsidP="003B25D9">
      <w:pPr>
        <w:pStyle w:val="Heading1"/>
        <w:rPr>
          <w:szCs w:val="28"/>
        </w:rPr>
      </w:pPr>
      <w:r>
        <w:rPr>
          <w:b w:val="0"/>
          <w:bCs w:val="0"/>
          <w:color w:val="000000"/>
          <w:spacing w:val="-7"/>
        </w:rPr>
        <w:br w:type="page"/>
      </w:r>
      <w:bookmarkStart w:id="4" w:name="_Toc436738869"/>
      <w:bookmarkStart w:id="5" w:name="_Toc294712676"/>
      <w:bookmarkStart w:id="6" w:name="_Toc316405567"/>
      <w:bookmarkEnd w:id="0"/>
      <w:r w:rsidR="002A79C5" w:rsidRPr="005F68B5">
        <w:rPr>
          <w:szCs w:val="28"/>
        </w:rPr>
        <w:lastRenderedPageBreak/>
        <w:t>P</w:t>
      </w:r>
      <w:r w:rsidR="00C671AF" w:rsidRPr="005F68B5">
        <w:rPr>
          <w:szCs w:val="28"/>
        </w:rPr>
        <w:t>ART</w:t>
      </w:r>
      <w:r w:rsidR="002A79C5" w:rsidRPr="005F68B5">
        <w:rPr>
          <w:szCs w:val="28"/>
        </w:rPr>
        <w:t xml:space="preserve"> I: H</w:t>
      </w:r>
      <w:r w:rsidR="00C671AF" w:rsidRPr="005F68B5">
        <w:rPr>
          <w:szCs w:val="28"/>
        </w:rPr>
        <w:t>EALTH AND INDEPENDENCE</w:t>
      </w:r>
      <w:bookmarkEnd w:id="4"/>
    </w:p>
    <w:p w:rsidR="0024200A" w:rsidRDefault="0024200A" w:rsidP="0024200A">
      <w:pPr>
        <w:jc w:val="both"/>
      </w:pPr>
      <w:r>
        <w:t>Due in part to advances in public health and medical care, Americans are living longer and more active lives.  The average life expectancy of an American has increased dramatically over the last century</w:t>
      </w:r>
      <w:r w:rsidR="009D3791">
        <w:t xml:space="preserve">, from </w:t>
      </w:r>
      <w:r w:rsidR="009D3791" w:rsidRPr="009D3791">
        <w:t>54.5 years in 1915 to 78.8 years in 2015</w:t>
      </w:r>
      <w:r w:rsidR="009D3791">
        <w:t>,</w:t>
      </w:r>
      <w:r w:rsidR="009D3791">
        <w:rPr>
          <w:rStyle w:val="FootnoteReference"/>
        </w:rPr>
        <w:footnoteReference w:id="12"/>
      </w:r>
      <w:r w:rsidR="00923CD1">
        <w:t xml:space="preserve"> </w:t>
      </w:r>
      <w:r w:rsidR="009D3791">
        <w:rPr>
          <w:rStyle w:val="FootnoteReference"/>
        </w:rPr>
        <w:footnoteReference w:id="13"/>
      </w:r>
      <w:r w:rsidR="009D3791">
        <w:t xml:space="preserve"> </w:t>
      </w:r>
      <w:r>
        <w:t>and one consequence of this increased longevity is the higher incidence of chronic conditions.  Multiple chronic conditions negatively affect quality of life, contribute to declines in functioning and the ability to remain in the community, adversely impact individuals’ health, and contribute to increased hospitali</w:t>
      </w:r>
      <w:r w:rsidR="00E84B55">
        <w:t xml:space="preserve">zations and health care costs. </w:t>
      </w:r>
      <w:r>
        <w:t xml:space="preserve">Many of the most common chronic conditions such as hypertension, heart disease, diabetes, and osteoporosis are related to nutrition as a primary prevention, risk reduction, or treatment modality. Medicare beneficiaries with multiple chronic conditions are the heaviest users of health care services. For example, two-thirds of </w:t>
      </w:r>
      <w:r w:rsidR="001A0234">
        <w:t xml:space="preserve">Medicare </w:t>
      </w:r>
      <w:r>
        <w:t xml:space="preserve">beneficiaries </w:t>
      </w:r>
      <w:r w:rsidR="001A0234">
        <w:t>who have</w:t>
      </w:r>
      <w:r>
        <w:t xml:space="preserve"> two or more chronic conditions account for 93 percent of Medicare spending, and one-third of </w:t>
      </w:r>
      <w:r w:rsidR="001A0234">
        <w:t>those</w:t>
      </w:r>
      <w:r>
        <w:t xml:space="preserve"> with four or more chronic conditions account for almost three-fourths of Medicare spending</w:t>
      </w:r>
      <w:r w:rsidR="00E84B55">
        <w:t>.</w:t>
      </w:r>
      <w:r w:rsidR="00E136B0">
        <w:rPr>
          <w:rStyle w:val="FootnoteReference"/>
        </w:rPr>
        <w:footnoteReference w:id="14"/>
      </w:r>
      <w:r w:rsidR="00286BE0">
        <w:t xml:space="preserve"> </w:t>
      </w:r>
      <w:r w:rsidR="001A0234">
        <w:t xml:space="preserve"> </w:t>
      </w:r>
      <w:r w:rsidR="009D3791" w:rsidRPr="009D3791">
        <w:t xml:space="preserve">Medicare beneficiaries with multiple chronic conditions are the heaviest users of health care services. For example, among Medicare beneficiaries age 65 and over who are not dual eligibles (enrolled in both Medicare and Medicaid), standardized Medicare per capita spending increases from $4,914 for persons with </w:t>
      </w:r>
      <w:r w:rsidR="00BB5A9C">
        <w:t>two</w:t>
      </w:r>
      <w:r w:rsidR="009D3791" w:rsidRPr="009D3791">
        <w:t xml:space="preserve"> to </w:t>
      </w:r>
      <w:r w:rsidR="00BB5A9C">
        <w:t>three</w:t>
      </w:r>
      <w:r w:rsidR="009D3791" w:rsidRPr="009D3791">
        <w:t xml:space="preserve"> chronic conditions to $28,076 for persons with </w:t>
      </w:r>
      <w:r w:rsidR="00BB5A9C">
        <w:t>six</w:t>
      </w:r>
      <w:r w:rsidR="009D3791" w:rsidRPr="009D3791">
        <w:t xml:space="preserve"> or more chronic conditions.</w:t>
      </w:r>
      <w:r w:rsidR="00923CD1">
        <w:rPr>
          <w:rStyle w:val="FootnoteReference"/>
        </w:rPr>
        <w:footnoteReference w:id="15"/>
      </w:r>
      <w:r w:rsidR="009D3791" w:rsidRPr="009D3791">
        <w:t xml:space="preserve"> Among Medicare beneficiaries age 65 and over who are dual eligibles, standardized Medicare per capita spending increases from $5,736 for persons with </w:t>
      </w:r>
      <w:r w:rsidR="00BB5A9C">
        <w:t>two</w:t>
      </w:r>
      <w:r w:rsidR="009D3791" w:rsidRPr="009D3791">
        <w:t xml:space="preserve"> to </w:t>
      </w:r>
      <w:r w:rsidR="00BB5A9C">
        <w:t>three</w:t>
      </w:r>
      <w:r w:rsidR="009D3791" w:rsidRPr="009D3791">
        <w:t xml:space="preserve"> conditions to $32,063 for persons with </w:t>
      </w:r>
      <w:r w:rsidR="00BB5A9C">
        <w:t>six</w:t>
      </w:r>
      <w:r w:rsidR="009D3791" w:rsidRPr="009D3791">
        <w:t xml:space="preserve"> or more chronic conditions.</w:t>
      </w:r>
      <w:r w:rsidR="00BB5A9C">
        <w:rPr>
          <w:rStyle w:val="FootnoteReference"/>
        </w:rPr>
        <w:footnoteReference w:id="16"/>
      </w:r>
    </w:p>
    <w:p w:rsidR="0024200A" w:rsidRDefault="0024200A" w:rsidP="0024200A">
      <w:pPr>
        <w:jc w:val="both"/>
      </w:pPr>
    </w:p>
    <w:p w:rsidR="002A79C5" w:rsidRPr="00AE5090" w:rsidRDefault="002A79C5" w:rsidP="002A79C5">
      <w:pPr>
        <w:jc w:val="both"/>
      </w:pPr>
      <w:r w:rsidRPr="0004723E">
        <w:t xml:space="preserve">AoA’s Health and Independence </w:t>
      </w:r>
      <w:r w:rsidR="00E84B55">
        <w:t>p</w:t>
      </w:r>
      <w:r w:rsidRPr="0004723E">
        <w:t xml:space="preserve">rograms provide a foundation of supports that assist older </w:t>
      </w:r>
      <w:r w:rsidRPr="00C833D3">
        <w:t xml:space="preserve">individuals </w:t>
      </w:r>
      <w:r w:rsidRPr="00AE5090">
        <w:t xml:space="preserve">to remain healthy and independent in their homes and communities, avoiding more expensive nursing home care.  For example, </w:t>
      </w:r>
      <w:r w:rsidR="00B23B40" w:rsidRPr="00AE5090">
        <w:t xml:space="preserve">61 </w:t>
      </w:r>
      <w:r w:rsidRPr="00AE5090">
        <w:t xml:space="preserve">percent of congregate and </w:t>
      </w:r>
      <w:r w:rsidR="00421EB5" w:rsidRPr="00AE5090">
        <w:t>92</w:t>
      </w:r>
      <w:r w:rsidR="00B23B40" w:rsidRPr="00AE5090">
        <w:t xml:space="preserve"> </w:t>
      </w:r>
      <w:r w:rsidRPr="00AE5090">
        <w:t xml:space="preserve">percent of home-delivered meal recipients reported that the meals enabled them to continue living in their own homes and </w:t>
      </w:r>
      <w:r w:rsidR="00421EB5" w:rsidRPr="00AE5090">
        <w:t>51</w:t>
      </w:r>
      <w:r w:rsidR="00B23B40" w:rsidRPr="00AE5090">
        <w:t xml:space="preserve"> </w:t>
      </w:r>
      <w:r w:rsidRPr="00AE5090">
        <w:t>percent of seniors using transportation services rely on them for the majority of their trips to doctors’ offices, pharmacies, meal sites, and other critical daily activities that help them to remain in the community.</w:t>
      </w:r>
      <w:r w:rsidRPr="00AE5090">
        <w:rPr>
          <w:rStyle w:val="FootnoteReference"/>
        </w:rPr>
        <w:footnoteReference w:id="17"/>
      </w:r>
    </w:p>
    <w:p w:rsidR="002A79C5" w:rsidRPr="00AE5090" w:rsidRDefault="002A79C5" w:rsidP="002A79C5">
      <w:pPr>
        <w:jc w:val="both"/>
      </w:pPr>
    </w:p>
    <w:p w:rsidR="002A79C5" w:rsidRPr="00AE5090" w:rsidRDefault="00D80D08" w:rsidP="002A79C5">
      <w:pPr>
        <w:jc w:val="both"/>
      </w:pPr>
      <w:r w:rsidRPr="00AE5090">
        <w:t>Between</w:t>
      </w:r>
      <w:r w:rsidR="002A79C5" w:rsidRPr="00AE5090">
        <w:t xml:space="preserve"> 201</w:t>
      </w:r>
      <w:r w:rsidR="005A2D72" w:rsidRPr="00AE5090">
        <w:t>5</w:t>
      </w:r>
      <w:r w:rsidR="002A79C5" w:rsidRPr="00AE5090">
        <w:t xml:space="preserve"> </w:t>
      </w:r>
      <w:r w:rsidRPr="00AE5090">
        <w:t>and</w:t>
      </w:r>
      <w:r w:rsidR="001B00DA" w:rsidRPr="00AE5090">
        <w:t xml:space="preserve"> 2020</w:t>
      </w:r>
      <w:r w:rsidR="002A79C5" w:rsidRPr="00AE5090">
        <w:t xml:space="preserve">, the number of Americans age 60 and older will increase by </w:t>
      </w:r>
      <w:r w:rsidR="00E04CE6" w:rsidRPr="00AE5090">
        <w:t>over</w:t>
      </w:r>
      <w:r w:rsidRPr="00AE5090">
        <w:t xml:space="preserve"> </w:t>
      </w:r>
      <w:r w:rsidR="006F67FF" w:rsidRPr="00AE5090">
        <w:t>10.8</w:t>
      </w:r>
      <w:r w:rsidR="000A1E79" w:rsidRPr="00AE5090">
        <w:t> </w:t>
      </w:r>
      <w:r w:rsidRPr="00AE5090">
        <w:t>million older adults, to reach</w:t>
      </w:r>
      <w:r w:rsidR="002A79C5" w:rsidRPr="00AE5090">
        <w:t xml:space="preserve"> </w:t>
      </w:r>
      <w:r w:rsidR="00B23B40" w:rsidRPr="00AE5090">
        <w:t xml:space="preserve">77.6 </w:t>
      </w:r>
      <w:r w:rsidR="002A79C5" w:rsidRPr="00AE5090">
        <w:t>million.</w:t>
      </w:r>
      <w:r w:rsidR="002A79C5" w:rsidRPr="00AE5090">
        <w:rPr>
          <w:rStyle w:val="FootnoteReference"/>
        </w:rPr>
        <w:footnoteReference w:id="18"/>
      </w:r>
      <w:r w:rsidR="002A79C5" w:rsidRPr="00AE5090">
        <w:t xml:space="preserve"> During this period, the number of </w:t>
      </w:r>
      <w:r w:rsidR="00A17EAC">
        <w:t>Americans</w:t>
      </w:r>
      <w:r w:rsidR="002A79C5" w:rsidRPr="00AE5090">
        <w:t xml:space="preserve"> </w:t>
      </w:r>
      <w:r w:rsidRPr="00AE5090">
        <w:t xml:space="preserve">age 65 and over </w:t>
      </w:r>
      <w:r w:rsidR="002A79C5" w:rsidRPr="00AE5090">
        <w:t xml:space="preserve">with severe disabilities (defined as </w:t>
      </w:r>
      <w:r w:rsidR="00E84B55">
        <w:t>three</w:t>
      </w:r>
      <w:r w:rsidR="002A79C5" w:rsidRPr="00AE5090">
        <w:t xml:space="preserve"> or more limitations in activities of daily living) who are </w:t>
      </w:r>
      <w:r w:rsidR="00A17EAC">
        <w:t>most likely to receive</w:t>
      </w:r>
      <w:r w:rsidR="002A79C5" w:rsidRPr="00AE5090">
        <w:t xml:space="preserve"> nursing home admission and </w:t>
      </w:r>
      <w:r w:rsidR="00A17EAC">
        <w:t xml:space="preserve">qualify for </w:t>
      </w:r>
      <w:r w:rsidR="002A79C5" w:rsidRPr="00AE5090">
        <w:t xml:space="preserve">Medicaid </w:t>
      </w:r>
      <w:r w:rsidR="002A79C5" w:rsidRPr="00AE5090">
        <w:lastRenderedPageBreak/>
        <w:t xml:space="preserve">eligibility (through the “spend down” provisions) will increase by </w:t>
      </w:r>
      <w:r w:rsidR="00674788" w:rsidRPr="00AE5090">
        <w:t xml:space="preserve">18 </w:t>
      </w:r>
      <w:r w:rsidR="002A79C5" w:rsidRPr="00AE5090">
        <w:t>percent.</w:t>
      </w:r>
      <w:r w:rsidR="002A79C5" w:rsidRPr="00AE5090">
        <w:rPr>
          <w:rStyle w:val="FootnoteReference"/>
        </w:rPr>
        <w:footnoteReference w:id="19"/>
      </w:r>
      <w:r w:rsidR="002A79C5" w:rsidRPr="00AE5090">
        <w:t xml:space="preserve"> </w:t>
      </w:r>
      <w:r w:rsidR="008F6A94" w:rsidRPr="00AE5090">
        <w:t>AoA’s Health and Independence</w:t>
      </w:r>
      <w:r w:rsidR="002A79C5" w:rsidRPr="00AE5090">
        <w:t xml:space="preserve"> programs help </w:t>
      </w:r>
      <w:r w:rsidR="00A17EAC">
        <w:t>older adults</w:t>
      </w:r>
      <w:r w:rsidR="002A79C5" w:rsidRPr="00AE5090">
        <w:t xml:space="preserve"> in need maintain their health and independence.</w:t>
      </w:r>
    </w:p>
    <w:p w:rsidR="002A79C5" w:rsidRPr="00AE5090" w:rsidRDefault="002A79C5" w:rsidP="002A79C5">
      <w:pPr>
        <w:jc w:val="both"/>
      </w:pPr>
    </w:p>
    <w:p w:rsidR="00A17EAC" w:rsidRDefault="002A79C5" w:rsidP="002A79C5">
      <w:pPr>
        <w:jc w:val="both"/>
      </w:pPr>
      <w:r w:rsidRPr="00AE5090">
        <w:t xml:space="preserve">In concert with other OAA programs, these services assist </w:t>
      </w:r>
      <w:r w:rsidR="00190149" w:rsidRPr="00AE5090">
        <w:t xml:space="preserve">over </w:t>
      </w:r>
      <w:r w:rsidR="00533B69" w:rsidRPr="00AE5090">
        <w:t>11.</w:t>
      </w:r>
      <w:r w:rsidR="00E136B0" w:rsidRPr="00AE5090">
        <w:t>6</w:t>
      </w:r>
      <w:r w:rsidRPr="00AE5090">
        <w:t> million elderly individuals and caregivers</w:t>
      </w:r>
      <w:r w:rsidR="000B0EB1" w:rsidRPr="00AE5090">
        <w:t>.</w:t>
      </w:r>
      <w:r w:rsidR="00B71114" w:rsidRPr="00AE5090">
        <w:rPr>
          <w:rStyle w:val="FootnoteReference"/>
        </w:rPr>
        <w:footnoteReference w:id="20"/>
      </w:r>
      <w:r w:rsidRPr="00AE5090">
        <w:t xml:space="preserve">  AoA’s services are especially critical for the nearly three million </w:t>
      </w:r>
      <w:r w:rsidR="00A17EAC">
        <w:t>older adults</w:t>
      </w:r>
      <w:r w:rsidRPr="00AE5090">
        <w:t xml:space="preserve"> who receive intensive in-home services, </w:t>
      </w:r>
      <w:r w:rsidR="00E136B0" w:rsidRPr="00AE5090">
        <w:t>more than 489,000</w:t>
      </w:r>
      <w:r w:rsidRPr="00AE5090">
        <w:t xml:space="preserve"> of whom meet the disability criteria </w:t>
      </w:r>
      <w:r w:rsidR="00487731">
        <w:t>for nursing home admission.  These services help to keep thes</w:t>
      </w:r>
      <w:r w:rsidR="005D195F">
        <w:t>e</w:t>
      </w:r>
      <w:r w:rsidR="00487731">
        <w:t xml:space="preserve"> individuals from joining the 1.9 million older adult residents who live for extended periods of time in nursing homes.</w:t>
      </w:r>
      <w:r w:rsidR="002C22D7" w:rsidRPr="00AE5090">
        <w:rPr>
          <w:rStyle w:val="FootnoteReference"/>
        </w:rPr>
        <w:footnoteReference w:id="21"/>
      </w:r>
      <w:r w:rsidR="002C22D7" w:rsidRPr="00AE5090">
        <w:t xml:space="preserve"> </w:t>
      </w:r>
    </w:p>
    <w:p w:rsidR="005D195F" w:rsidRPr="002A597E" w:rsidRDefault="005D195F" w:rsidP="002A79C5">
      <w:pPr>
        <w:jc w:val="both"/>
        <w:rPr>
          <w:sz w:val="28"/>
          <w:szCs w:val="28"/>
        </w:rPr>
      </w:pPr>
    </w:p>
    <w:p w:rsidR="00BB6A94" w:rsidRPr="00C671AF" w:rsidRDefault="00BB6A94" w:rsidP="00EB7718">
      <w:pPr>
        <w:pStyle w:val="Heading2"/>
      </w:pPr>
      <w:bookmarkStart w:id="7" w:name="_Toc436738870"/>
      <w:bookmarkStart w:id="8" w:name="_Toc284574137"/>
      <w:bookmarkStart w:id="9" w:name="_Toc284575774"/>
      <w:bookmarkEnd w:id="5"/>
      <w:bookmarkEnd w:id="6"/>
      <w:r w:rsidRPr="003B45F7">
        <w:t>Home and Community-Based Supportive Services</w:t>
      </w:r>
      <w:bookmarkEnd w:id="7"/>
    </w:p>
    <w:p w:rsidR="00BB6A94" w:rsidRPr="00E053B9" w:rsidRDefault="00BB6A94" w:rsidP="00BB6A94">
      <w:pPr>
        <w:jc w:val="center"/>
        <w:rPr>
          <w:b/>
          <w:i/>
        </w:rPr>
      </w:pPr>
      <w:r w:rsidRPr="00E053B9">
        <w:rPr>
          <w:b/>
          <w:i/>
        </w:rPr>
        <w:t>(Title III-B of OAA; FY 201</w:t>
      </w:r>
      <w:r w:rsidR="00D763C8">
        <w:rPr>
          <w:b/>
          <w:i/>
        </w:rPr>
        <w:t>5</w:t>
      </w:r>
      <w:r w:rsidRPr="00E053B9">
        <w:rPr>
          <w:b/>
          <w:i/>
        </w:rPr>
        <w:t>:</w:t>
      </w:r>
      <w:r w:rsidR="00940CE2" w:rsidRPr="00E053B9">
        <w:rPr>
          <w:b/>
          <w:i/>
        </w:rPr>
        <w:t xml:space="preserve"> </w:t>
      </w:r>
      <w:r w:rsidR="00B90FC4" w:rsidRPr="00E053B9">
        <w:rPr>
          <w:b/>
          <w:i/>
        </w:rPr>
        <w:t>$347,724,000)</w:t>
      </w:r>
    </w:p>
    <w:p w:rsidR="00C671AF" w:rsidRDefault="00C671AF" w:rsidP="00BB6A94">
      <w:pPr>
        <w:contextualSpacing/>
        <w:jc w:val="both"/>
        <w:rPr>
          <w:iCs/>
        </w:rPr>
      </w:pPr>
    </w:p>
    <w:p w:rsidR="002834FD" w:rsidRPr="0004723E" w:rsidRDefault="002834FD" w:rsidP="002834FD">
      <w:pPr>
        <w:contextualSpacing/>
        <w:jc w:val="both"/>
      </w:pPr>
      <w:r w:rsidRPr="0004723E">
        <w:rPr>
          <w:iCs/>
        </w:rPr>
        <w:t>The Home and Community-Based Supportive Services (HCBS</w:t>
      </w:r>
      <w:r w:rsidR="00D366CE">
        <w:rPr>
          <w:iCs/>
        </w:rPr>
        <w:t>S</w:t>
      </w:r>
      <w:r w:rsidRPr="0004723E">
        <w:rPr>
          <w:iCs/>
        </w:rPr>
        <w:t>) program, established in 1973, provides</w:t>
      </w:r>
      <w:r w:rsidRPr="0004723E">
        <w:t xml:space="preserve"> grants to </w:t>
      </w:r>
      <w:r>
        <w:t>s</w:t>
      </w:r>
      <w:r w:rsidRPr="0004723E">
        <w:t xml:space="preserve">tates and </w:t>
      </w:r>
      <w:r>
        <w:t>t</w:t>
      </w:r>
      <w:r w:rsidRPr="0004723E">
        <w:t>erritories based on their share of the population age 60 and over to fund a broad array of services</w:t>
      </w:r>
      <w:r w:rsidR="008F6A94">
        <w:t>.</w:t>
      </w:r>
      <w:r w:rsidRPr="0004723E">
        <w:t xml:space="preserve">  </w:t>
      </w:r>
      <w:r>
        <w:t>AoA’s programs</w:t>
      </w:r>
      <w:r w:rsidRPr="0004723E">
        <w:t xml:space="preserve">, </w:t>
      </w:r>
      <w:r>
        <w:t>including</w:t>
      </w:r>
      <w:r w:rsidRPr="0004723E">
        <w:t xml:space="preserve"> the HCBS</w:t>
      </w:r>
      <w:r w:rsidR="00D366CE">
        <w:t>S</w:t>
      </w:r>
      <w:r w:rsidRPr="0004723E">
        <w:t xml:space="preserve"> program, serve seniors holistically</w:t>
      </w:r>
      <w:r w:rsidR="007B634A">
        <w:t>:</w:t>
      </w:r>
      <w:r w:rsidR="007B634A" w:rsidRPr="0004723E">
        <w:t xml:space="preserve"> </w:t>
      </w:r>
      <w:r w:rsidRPr="0004723E">
        <w:t xml:space="preserve">while each service is valuable in and of itself, it is often the combination of supports, when tailored </w:t>
      </w:r>
      <w:r>
        <w:t>to the needs of the individual</w:t>
      </w:r>
      <w:r w:rsidR="00943E59">
        <w:t xml:space="preserve"> </w:t>
      </w:r>
      <w:r w:rsidRPr="0004723E">
        <w:t xml:space="preserve">that </w:t>
      </w:r>
      <w:r w:rsidR="008F6A94">
        <w:t>helps</w:t>
      </w:r>
      <w:r w:rsidRPr="0004723E">
        <w:t xml:space="preserve"> </w:t>
      </w:r>
      <w:r w:rsidR="000D7A0B">
        <w:t>older persons</w:t>
      </w:r>
      <w:r w:rsidRPr="0004723E">
        <w:t xml:space="preserve"> remain in their own homes and communities instead of entering nursing homes</w:t>
      </w:r>
      <w:r>
        <w:t xml:space="preserve"> or other types of institutional care</w:t>
      </w:r>
      <w:r w:rsidRPr="0004723E">
        <w:t>.</w:t>
      </w:r>
      <w:r w:rsidR="008F6A94">
        <w:rPr>
          <w:rStyle w:val="FootnoteReference"/>
        </w:rPr>
        <w:footnoteReference w:id="22"/>
      </w:r>
      <w:r w:rsidRPr="0004723E">
        <w:t xml:space="preserve">  </w:t>
      </w:r>
    </w:p>
    <w:p w:rsidR="00B777A3" w:rsidRDefault="00B777A3" w:rsidP="007B7698">
      <w:pPr>
        <w:jc w:val="both"/>
      </w:pPr>
    </w:p>
    <w:p w:rsidR="002834FD" w:rsidRPr="006775D3" w:rsidRDefault="002834FD" w:rsidP="002834FD">
      <w:pPr>
        <w:spacing w:after="200"/>
        <w:jc w:val="both"/>
      </w:pPr>
      <w:r w:rsidRPr="0004723E">
        <w:t>The services provided through the HCBS</w:t>
      </w:r>
      <w:r w:rsidR="00D366CE">
        <w:t>S</w:t>
      </w:r>
      <w:r w:rsidRPr="0004723E">
        <w:t xml:space="preserve"> program include </w:t>
      </w:r>
      <w:r>
        <w:t xml:space="preserve">access services such as </w:t>
      </w:r>
      <w:r w:rsidRPr="0004723E">
        <w:t>transportation; case management</w:t>
      </w:r>
      <w:r>
        <w:t xml:space="preserve"> and</w:t>
      </w:r>
      <w:r w:rsidRPr="0004723E">
        <w:t xml:space="preserve"> information and referral; in-home services such as personal care, chore, and homemaker assistance; and community services such as adult day care</w:t>
      </w:r>
      <w:r>
        <w:t xml:space="preserve"> and physical fitness programs</w:t>
      </w:r>
      <w:r w:rsidRPr="0004723E">
        <w:t>. In addition to these services, the HCBS</w:t>
      </w:r>
      <w:r w:rsidR="00D366CE">
        <w:t>S</w:t>
      </w:r>
      <w:r w:rsidRPr="0004723E">
        <w:t xml:space="preserve"> program also funds </w:t>
      </w:r>
      <w:r w:rsidRPr="006775D3">
        <w:t>multi-purpose senior centers, which coordinate and integrate services for the elderly.</w:t>
      </w:r>
    </w:p>
    <w:p w:rsidR="002834FD" w:rsidRPr="00155D0B" w:rsidRDefault="002834FD" w:rsidP="002834FD">
      <w:pPr>
        <w:contextualSpacing/>
        <w:jc w:val="both"/>
      </w:pPr>
      <w:r w:rsidRPr="006775D3">
        <w:t xml:space="preserve">While age alone does not determine the need for these </w:t>
      </w:r>
      <w:r w:rsidR="00A17EAC">
        <w:t>home and community-based services</w:t>
      </w:r>
      <w:r w:rsidRPr="006775D3">
        <w:t xml:space="preserve">, statistics show that both disability rates and the use of </w:t>
      </w:r>
      <w:r w:rsidRPr="00AE5090">
        <w:t>long-term supports increase with advancing age. A</w:t>
      </w:r>
      <w:r w:rsidR="001B00DA" w:rsidRPr="00AE5090">
        <w:t xml:space="preserve">mong those aged 85 and older, </w:t>
      </w:r>
      <w:r w:rsidR="00D73E8A" w:rsidRPr="00AE5090">
        <w:t>56</w:t>
      </w:r>
      <w:r w:rsidR="0030641D" w:rsidRPr="00AE5090">
        <w:t> </w:t>
      </w:r>
      <w:r w:rsidRPr="00AE5090">
        <w:t>percent are unable to perform critical activities of daily living and require long-term supp</w:t>
      </w:r>
      <w:r w:rsidR="001B00DA" w:rsidRPr="00AE5090">
        <w:t>ort</w:t>
      </w:r>
      <w:r w:rsidR="00F816E3" w:rsidRPr="00AE5090">
        <w:t>.</w:t>
      </w:r>
      <w:r w:rsidR="00E74A96" w:rsidRPr="00AE5090">
        <w:rPr>
          <w:rStyle w:val="FootnoteReference"/>
        </w:rPr>
        <w:footnoteReference w:id="23"/>
      </w:r>
      <w:r w:rsidR="001B00DA" w:rsidRPr="00AE5090">
        <w:t xml:space="preserve">  Data also show that over 9</w:t>
      </w:r>
      <w:r w:rsidR="00D73E8A" w:rsidRPr="00AE5090">
        <w:t>2</w:t>
      </w:r>
      <w:r w:rsidRPr="00AE5090">
        <w:t xml:space="preserve"> percent of </w:t>
      </w:r>
      <w:r w:rsidR="000B0EB1" w:rsidRPr="00AE5090">
        <w:t>older Americans</w:t>
      </w:r>
      <w:r w:rsidRPr="00AE5090">
        <w:t xml:space="preserve"> have at le</w:t>
      </w:r>
      <w:r w:rsidR="001B00DA" w:rsidRPr="00AE5090">
        <w:t>ast one chronic co</w:t>
      </w:r>
      <w:r w:rsidR="00CE5F52" w:rsidRPr="00AE5090">
        <w:t>ndition and 76</w:t>
      </w:r>
      <w:r w:rsidRPr="00AE5090">
        <w:t> percent have at least two.</w:t>
      </w:r>
      <w:r w:rsidRPr="00AE5090">
        <w:rPr>
          <w:rStyle w:val="FootnoteReference"/>
        </w:rPr>
        <w:footnoteReference w:id="24"/>
      </w:r>
      <w:r w:rsidRPr="006775D3">
        <w:t xml:space="preserve">  Providing a variety of supportive services that meet the diverse needs of these older individuals is crucial to enabling them to </w:t>
      </w:r>
      <w:r w:rsidR="00A17EAC">
        <w:t xml:space="preserve">choose to </w:t>
      </w:r>
      <w:r w:rsidRPr="006775D3">
        <w:t>remain healthy and independent in their homes and communities, and therefore to avoiding unnecessary, expensive nursing home care</w:t>
      </w:r>
      <w:r w:rsidR="00A17EAC">
        <w:t xml:space="preserve"> that is often publicly financed</w:t>
      </w:r>
      <w:r w:rsidRPr="006775D3">
        <w:t>.</w:t>
      </w:r>
      <w:r w:rsidR="00A17EAC">
        <w:t xml:space="preserve">  In light of limited long-term coverage under Medicare and constrictions in the long-term care insurance market, many Americans with few resources will continue to rely on </w:t>
      </w:r>
      <w:r w:rsidR="00A17EAC">
        <w:lastRenderedPageBreak/>
        <w:t>Medicaid to furnish their long-term care.  Supporting less costly community-based options is a critical function of government and will continue to be an important tool in managing Federal expenditures.</w:t>
      </w:r>
      <w:r w:rsidRPr="00155D0B">
        <w:t xml:space="preserve">  </w:t>
      </w:r>
    </w:p>
    <w:p w:rsidR="002834FD" w:rsidRPr="00155D0B" w:rsidRDefault="002834FD" w:rsidP="002834FD">
      <w:pPr>
        <w:contextualSpacing/>
        <w:jc w:val="both"/>
      </w:pPr>
    </w:p>
    <w:p w:rsidR="002834FD" w:rsidRPr="00155D0B" w:rsidRDefault="002834FD" w:rsidP="002834FD">
      <w:pPr>
        <w:contextualSpacing/>
        <w:jc w:val="both"/>
      </w:pPr>
      <w:r w:rsidRPr="006775D3">
        <w:t>Services provided by the HCBS</w:t>
      </w:r>
      <w:r w:rsidR="00B777A3" w:rsidRPr="006775D3">
        <w:t>S</w:t>
      </w:r>
      <w:r w:rsidRPr="006775D3">
        <w:t xml:space="preserve"> program in FY </w:t>
      </w:r>
      <w:r w:rsidR="006F23C4">
        <w:t>2015</w:t>
      </w:r>
      <w:r w:rsidR="006F23C4" w:rsidRPr="006775D3">
        <w:t xml:space="preserve"> </w:t>
      </w:r>
      <w:r w:rsidRPr="006775D3">
        <w:t>include:</w:t>
      </w:r>
      <w:r w:rsidR="002803CB" w:rsidRPr="006775D3">
        <w:rPr>
          <w:rStyle w:val="FootnoteReference"/>
        </w:rPr>
        <w:footnoteReference w:id="25"/>
      </w:r>
      <w:r w:rsidRPr="00155D0B">
        <w:t xml:space="preserve"> </w:t>
      </w:r>
    </w:p>
    <w:p w:rsidR="002834FD" w:rsidRPr="00155D0B" w:rsidRDefault="002834FD" w:rsidP="002834FD">
      <w:pPr>
        <w:contextualSpacing/>
        <w:jc w:val="both"/>
      </w:pPr>
    </w:p>
    <w:p w:rsidR="002834FD" w:rsidRPr="006775D3" w:rsidRDefault="002834FD" w:rsidP="002834FD">
      <w:pPr>
        <w:pBdr>
          <w:top w:val="single" w:sz="6" w:space="0" w:color="FFFFFF"/>
          <w:left w:val="single" w:sz="6" w:space="0" w:color="FFFFFF"/>
          <w:bottom w:val="single" w:sz="6" w:space="0" w:color="FFFFFF"/>
          <w:right w:val="single" w:sz="6" w:space="2" w:color="FFFFFF"/>
        </w:pBdr>
        <w:contextualSpacing/>
        <w:jc w:val="both"/>
      </w:pPr>
      <w:r w:rsidRPr="006775D3">
        <w:rPr>
          <w:i/>
        </w:rPr>
        <w:t>Transportation Services</w:t>
      </w:r>
      <w:r w:rsidRPr="006775D3">
        <w:t xml:space="preserve"> provided </w:t>
      </w:r>
      <w:r w:rsidR="006F23C4">
        <w:t>23.6</w:t>
      </w:r>
      <w:r w:rsidR="00633F18" w:rsidRPr="006775D3">
        <w:t xml:space="preserve"> </w:t>
      </w:r>
      <w:r w:rsidRPr="006775D3">
        <w:t xml:space="preserve">million rides to doctor’s offices, grocery stores, pharmacies, senior centers, meal sites, and other critical daily activities.  </w:t>
      </w:r>
    </w:p>
    <w:p w:rsidR="002834FD" w:rsidRPr="006775D3" w:rsidRDefault="002834FD" w:rsidP="002834FD">
      <w:pPr>
        <w:pBdr>
          <w:top w:val="single" w:sz="6" w:space="0" w:color="FFFFFF"/>
          <w:left w:val="single" w:sz="6" w:space="0" w:color="FFFFFF"/>
          <w:bottom w:val="single" w:sz="6" w:space="0" w:color="FFFFFF"/>
          <w:right w:val="single" w:sz="6" w:space="2" w:color="FFFFFF"/>
        </w:pBdr>
        <w:contextualSpacing/>
        <w:jc w:val="both"/>
        <w:rPr>
          <w:highlight w:val="yellow"/>
        </w:rPr>
      </w:pPr>
    </w:p>
    <w:p w:rsidR="002834FD" w:rsidRPr="006775D3" w:rsidRDefault="002834FD" w:rsidP="002834FD">
      <w:pPr>
        <w:contextualSpacing/>
        <w:jc w:val="both"/>
        <w:rPr>
          <w:spacing w:val="-2"/>
        </w:rPr>
      </w:pPr>
      <w:r w:rsidRPr="006775D3">
        <w:rPr>
          <w:i/>
          <w:spacing w:val="-2"/>
        </w:rPr>
        <w:t>Personal Care, Homemaker, and Chore Services</w:t>
      </w:r>
      <w:r w:rsidRPr="006775D3">
        <w:rPr>
          <w:spacing w:val="-2"/>
        </w:rPr>
        <w:t xml:space="preserve"> provided </w:t>
      </w:r>
      <w:r w:rsidR="00D73E8A">
        <w:rPr>
          <w:spacing w:val="-2"/>
        </w:rPr>
        <w:t xml:space="preserve">nearly </w:t>
      </w:r>
      <w:r w:rsidR="00A477B4">
        <w:rPr>
          <w:spacing w:val="-2"/>
        </w:rPr>
        <w:t>39</w:t>
      </w:r>
      <w:r w:rsidRPr="006775D3">
        <w:rPr>
          <w:spacing w:val="-2"/>
        </w:rPr>
        <w:t xml:space="preserve"> million hours of assistance to </w:t>
      </w:r>
      <w:r w:rsidR="00A17EAC">
        <w:rPr>
          <w:spacing w:val="-2"/>
        </w:rPr>
        <w:t>older adults</w:t>
      </w:r>
      <w:r w:rsidRPr="006775D3">
        <w:rPr>
          <w:spacing w:val="-2"/>
        </w:rPr>
        <w:t xml:space="preserve"> unable to perform activities of daily living (such as eating, dressing, or bathing) or instrumental activities of daily living (such as shopping or light housework).</w:t>
      </w:r>
    </w:p>
    <w:p w:rsidR="00FD5B4E" w:rsidRDefault="00FD5B4E" w:rsidP="00FD5B4E">
      <w:pPr>
        <w:pBdr>
          <w:top w:val="single" w:sz="6" w:space="0" w:color="FFFFFF"/>
          <w:left w:val="single" w:sz="6" w:space="0" w:color="FFFFFF"/>
          <w:bottom w:val="single" w:sz="6" w:space="0" w:color="FFFFFF"/>
          <w:right w:val="single" w:sz="6" w:space="0" w:color="FFFFFF"/>
        </w:pBdr>
        <w:contextualSpacing/>
        <w:jc w:val="both"/>
        <w:rPr>
          <w:i/>
          <w:spacing w:val="-2"/>
        </w:rPr>
      </w:pPr>
    </w:p>
    <w:p w:rsidR="00FD5B4E" w:rsidRPr="006775D3" w:rsidRDefault="00FD5B4E" w:rsidP="00FD5B4E">
      <w:pPr>
        <w:pBdr>
          <w:top w:val="single" w:sz="6" w:space="0" w:color="FFFFFF"/>
          <w:left w:val="single" w:sz="6" w:space="0" w:color="FFFFFF"/>
          <w:bottom w:val="single" w:sz="6" w:space="0" w:color="FFFFFF"/>
          <w:right w:val="single" w:sz="6" w:space="0" w:color="FFFFFF"/>
        </w:pBdr>
        <w:contextualSpacing/>
        <w:jc w:val="both"/>
        <w:rPr>
          <w:spacing w:val="-2"/>
        </w:rPr>
      </w:pPr>
      <w:r w:rsidRPr="006775D3">
        <w:rPr>
          <w:i/>
          <w:spacing w:val="-2"/>
        </w:rPr>
        <w:t>Adult Day Care/Day Health</w:t>
      </w:r>
      <w:r w:rsidRPr="006775D3">
        <w:rPr>
          <w:spacing w:val="-2"/>
        </w:rPr>
        <w:t xml:space="preserve"> provided </w:t>
      </w:r>
      <w:r>
        <w:rPr>
          <w:spacing w:val="-2"/>
        </w:rPr>
        <w:t>10</w:t>
      </w:r>
      <w:r w:rsidRPr="006775D3">
        <w:rPr>
          <w:spacing w:val="-2"/>
        </w:rPr>
        <w:t xml:space="preserve"> million hours of care for </w:t>
      </w:r>
      <w:r w:rsidR="00A17EAC">
        <w:rPr>
          <w:spacing w:val="-2"/>
        </w:rPr>
        <w:t>program participants</w:t>
      </w:r>
      <w:r w:rsidRPr="006775D3">
        <w:rPr>
          <w:spacing w:val="-2"/>
        </w:rPr>
        <w:t xml:space="preserve"> in a group setting</w:t>
      </w:r>
      <w:r w:rsidR="00A17EAC">
        <w:rPr>
          <w:spacing w:val="-2"/>
        </w:rPr>
        <w:t xml:space="preserve"> that provides health, therapeutic, and social services and activities</w:t>
      </w:r>
      <w:r w:rsidRPr="006775D3">
        <w:rPr>
          <w:spacing w:val="-2"/>
        </w:rPr>
        <w:t xml:space="preserve"> during some portion of a twenty-four hour day. </w:t>
      </w:r>
    </w:p>
    <w:p w:rsidR="002834FD" w:rsidRPr="006775D3" w:rsidRDefault="002834FD" w:rsidP="002834FD">
      <w:pPr>
        <w:contextualSpacing/>
        <w:jc w:val="both"/>
        <w:rPr>
          <w:spacing w:val="-2"/>
        </w:rPr>
      </w:pPr>
    </w:p>
    <w:p w:rsidR="002834FD" w:rsidRPr="006775D3" w:rsidRDefault="002834FD" w:rsidP="002834FD">
      <w:pPr>
        <w:pBdr>
          <w:top w:val="single" w:sz="6" w:space="0" w:color="FFFFFF"/>
          <w:left w:val="single" w:sz="6" w:space="0" w:color="FFFFFF"/>
          <w:bottom w:val="single" w:sz="6" w:space="0" w:color="FFFFFF"/>
          <w:right w:val="single" w:sz="6" w:space="0" w:color="FFFFFF"/>
        </w:pBdr>
        <w:contextualSpacing/>
        <w:jc w:val="both"/>
      </w:pPr>
      <w:r w:rsidRPr="006775D3">
        <w:rPr>
          <w:i/>
        </w:rPr>
        <w:t>Case Management Services</w:t>
      </w:r>
      <w:r w:rsidRPr="006775D3">
        <w:t xml:space="preserve"> provided </w:t>
      </w:r>
      <w:r w:rsidR="00B71114">
        <w:t xml:space="preserve">over </w:t>
      </w:r>
      <w:r w:rsidR="0091162A">
        <w:t>3.6</w:t>
      </w:r>
      <w:r w:rsidR="00B71114" w:rsidRPr="006775D3">
        <w:t xml:space="preserve"> </w:t>
      </w:r>
      <w:r w:rsidRPr="006775D3">
        <w:t xml:space="preserve">million hours of assistance in assessing needs, developing care plans, and arranging services for older persons or their caregivers. </w:t>
      </w:r>
    </w:p>
    <w:p w:rsidR="002834FD" w:rsidRPr="00155D0B" w:rsidRDefault="002834FD" w:rsidP="002834FD">
      <w:pPr>
        <w:pStyle w:val="ListParagraph"/>
        <w:ind w:left="0"/>
        <w:jc w:val="both"/>
      </w:pPr>
    </w:p>
    <w:p w:rsidR="002834FD" w:rsidRPr="00AE5090" w:rsidRDefault="00E84B55" w:rsidP="002834FD">
      <w:pPr>
        <w:contextualSpacing/>
        <w:jc w:val="both"/>
      </w:pPr>
      <w:r>
        <w:t xml:space="preserve">Reflecting AoA’s and the national aging service network’s </w:t>
      </w:r>
      <w:r w:rsidR="007C7AEC">
        <w:t>efforts</w:t>
      </w:r>
      <w:r>
        <w:t xml:space="preserve"> to target</w:t>
      </w:r>
      <w:r w:rsidR="002834FD" w:rsidRPr="00AE5090">
        <w:t xml:space="preserve"> services to those in most need, </w:t>
      </w:r>
      <w:r w:rsidR="00D73E8A" w:rsidRPr="00AE5090">
        <w:t xml:space="preserve">nearly </w:t>
      </w:r>
      <w:r w:rsidR="00633F18" w:rsidRPr="00AE5090">
        <w:t>4</w:t>
      </w:r>
      <w:r w:rsidR="00D73E8A" w:rsidRPr="00AE5090">
        <w:t>9</w:t>
      </w:r>
      <w:r w:rsidR="00633F18" w:rsidRPr="00AE5090">
        <w:t> </w:t>
      </w:r>
      <w:r w:rsidR="002834FD" w:rsidRPr="00AE5090">
        <w:t>percent of riders on OAA-funded transportation are mobility impaired, meaning they do not own a car or</w:t>
      </w:r>
      <w:r w:rsidR="00806EE1" w:rsidRPr="00AE5090">
        <w:t>,</w:t>
      </w:r>
      <w:r w:rsidR="002834FD" w:rsidRPr="00AE5090">
        <w:t xml:space="preserve"> if they do own a car</w:t>
      </w:r>
      <w:r w:rsidR="00806EE1" w:rsidRPr="00AE5090">
        <w:t>, they do not drive</w:t>
      </w:r>
      <w:r w:rsidR="002834FD" w:rsidRPr="00AE5090">
        <w:t xml:space="preserve"> and are not near public transportation.</w:t>
      </w:r>
      <w:r w:rsidR="00CB4418" w:rsidRPr="00AE5090">
        <w:rPr>
          <w:rStyle w:val="FootnoteReference"/>
        </w:rPr>
        <w:footnoteReference w:id="26"/>
      </w:r>
      <w:r w:rsidR="002834FD" w:rsidRPr="00AE5090">
        <w:t xml:space="preserve">  Many of these individuals cannot safely drive a car, as </w:t>
      </w:r>
      <w:r w:rsidR="00D73E8A" w:rsidRPr="00AE5090">
        <w:t>nearly 77</w:t>
      </w:r>
      <w:r w:rsidR="002834FD" w:rsidRPr="00AE5090">
        <w:t> percent of transportation riders have at least one of the following chronic conditions that could impair their ability to navigate safely:</w:t>
      </w:r>
      <w:r w:rsidR="00CB4418" w:rsidRPr="00AE5090">
        <w:rPr>
          <w:rStyle w:val="FootnoteReference"/>
        </w:rPr>
        <w:footnoteReference w:id="27"/>
      </w:r>
    </w:p>
    <w:p w:rsidR="002834FD" w:rsidRPr="00AE5090" w:rsidRDefault="002834FD" w:rsidP="002834FD">
      <w:pPr>
        <w:contextualSpacing/>
        <w:jc w:val="both"/>
      </w:pPr>
      <w:r w:rsidRPr="00AE5090">
        <w:t xml:space="preserve"> </w:t>
      </w:r>
      <w:r w:rsidRPr="00AE5090">
        <w:tab/>
      </w:r>
    </w:p>
    <w:p w:rsidR="002834FD" w:rsidRPr="00AE5090" w:rsidRDefault="009E5F12" w:rsidP="00FA2C70">
      <w:pPr>
        <w:pStyle w:val="ListParagraph"/>
        <w:numPr>
          <w:ilvl w:val="0"/>
          <w:numId w:val="22"/>
        </w:numPr>
        <w:jc w:val="both"/>
      </w:pPr>
      <w:r w:rsidRPr="00AE5090">
        <w:t>67 </w:t>
      </w:r>
      <w:r w:rsidR="002834FD" w:rsidRPr="00AE5090">
        <w:t xml:space="preserve">percent of riders had a doctor tell them they had vision problems (including glaucoma, macular degeneration or cataracts); </w:t>
      </w:r>
    </w:p>
    <w:p w:rsidR="002834FD" w:rsidRPr="00AE5090" w:rsidRDefault="00D73E8A" w:rsidP="00FA2C70">
      <w:pPr>
        <w:pStyle w:val="ListParagraph"/>
        <w:numPr>
          <w:ilvl w:val="0"/>
          <w:numId w:val="22"/>
        </w:numPr>
        <w:jc w:val="both"/>
      </w:pPr>
      <w:r w:rsidRPr="00AE5090">
        <w:t>10</w:t>
      </w:r>
      <w:r w:rsidR="009E5F12" w:rsidRPr="00AE5090">
        <w:t> </w:t>
      </w:r>
      <w:r w:rsidR="002834FD" w:rsidRPr="00AE5090">
        <w:t xml:space="preserve">percent have Alzheimer’s </w:t>
      </w:r>
      <w:r w:rsidR="00A17EAC">
        <w:t xml:space="preserve">disease </w:t>
      </w:r>
      <w:r w:rsidR="002834FD" w:rsidRPr="00AE5090">
        <w:t xml:space="preserve">or dementia; </w:t>
      </w:r>
    </w:p>
    <w:p w:rsidR="002834FD" w:rsidRPr="00AE5090" w:rsidRDefault="00FD5B4E" w:rsidP="00FA2C70">
      <w:pPr>
        <w:pStyle w:val="ListParagraph"/>
        <w:numPr>
          <w:ilvl w:val="0"/>
          <w:numId w:val="22"/>
        </w:numPr>
        <w:jc w:val="both"/>
      </w:pPr>
      <w:r>
        <w:t>3</w:t>
      </w:r>
      <w:r w:rsidR="002834FD" w:rsidRPr="00AE5090">
        <w:t xml:space="preserve"> percent have Multiple Sclerosis; </w:t>
      </w:r>
    </w:p>
    <w:p w:rsidR="002834FD" w:rsidRPr="00AE5090" w:rsidRDefault="00D73E8A" w:rsidP="00FA2C70">
      <w:pPr>
        <w:pStyle w:val="ListParagraph"/>
        <w:numPr>
          <w:ilvl w:val="0"/>
          <w:numId w:val="22"/>
        </w:numPr>
        <w:jc w:val="both"/>
      </w:pPr>
      <w:r w:rsidRPr="00AE5090">
        <w:t>15</w:t>
      </w:r>
      <w:r w:rsidR="009E5F12" w:rsidRPr="00AE5090">
        <w:t> </w:t>
      </w:r>
      <w:r w:rsidR="002834FD" w:rsidRPr="00AE5090">
        <w:t>percent have had a stroke;</w:t>
      </w:r>
    </w:p>
    <w:p w:rsidR="002834FD" w:rsidRPr="00AE5090" w:rsidRDefault="00D73E8A" w:rsidP="00FA2C70">
      <w:pPr>
        <w:pStyle w:val="ListParagraph"/>
        <w:numPr>
          <w:ilvl w:val="0"/>
          <w:numId w:val="22"/>
        </w:numPr>
        <w:jc w:val="both"/>
      </w:pPr>
      <w:r w:rsidRPr="00AE5090">
        <w:t>4</w:t>
      </w:r>
      <w:r w:rsidR="009E5F12" w:rsidRPr="00AE5090">
        <w:t xml:space="preserve"> </w:t>
      </w:r>
      <w:r w:rsidR="002834FD" w:rsidRPr="00AE5090">
        <w:t xml:space="preserve">percent have epilepsy; and </w:t>
      </w:r>
    </w:p>
    <w:p w:rsidR="002834FD" w:rsidRPr="00AE5090" w:rsidRDefault="00D73E8A" w:rsidP="00FA2C70">
      <w:pPr>
        <w:pStyle w:val="ListParagraph"/>
        <w:numPr>
          <w:ilvl w:val="0"/>
          <w:numId w:val="22"/>
        </w:numPr>
        <w:jc w:val="both"/>
      </w:pPr>
      <w:r w:rsidRPr="00AE5090">
        <w:t>3</w:t>
      </w:r>
      <w:r w:rsidR="009E5F12" w:rsidRPr="00AE5090">
        <w:t xml:space="preserve"> </w:t>
      </w:r>
      <w:r w:rsidR="002834FD" w:rsidRPr="00AE5090">
        <w:t xml:space="preserve">percent have Parkinson’s disease. </w:t>
      </w:r>
    </w:p>
    <w:p w:rsidR="002834FD" w:rsidRPr="00AE5090" w:rsidRDefault="002834FD" w:rsidP="002834FD">
      <w:pPr>
        <w:contextualSpacing/>
        <w:jc w:val="both"/>
      </w:pPr>
      <w:r w:rsidRPr="00AE5090">
        <w:t xml:space="preserve">  </w:t>
      </w:r>
    </w:p>
    <w:p w:rsidR="002834FD" w:rsidRPr="00AE5090" w:rsidRDefault="002834FD" w:rsidP="002834FD">
      <w:pPr>
        <w:contextualSpacing/>
        <w:jc w:val="both"/>
      </w:pPr>
      <w:r w:rsidRPr="00AE5090">
        <w:t xml:space="preserve">Of the transportation participants, </w:t>
      </w:r>
      <w:r w:rsidR="009E5F12" w:rsidRPr="00AE5090">
        <w:t>96 </w:t>
      </w:r>
      <w:r w:rsidRPr="00AE5090">
        <w:t>percent</w:t>
      </w:r>
      <w:r w:rsidR="00D60A69" w:rsidRPr="00AE5090">
        <w:t xml:space="preserve"> take daily medications, with </w:t>
      </w:r>
      <w:r w:rsidR="007C7AEC">
        <w:t>about one in five (19 percent)</w:t>
      </w:r>
      <w:r w:rsidRPr="00AE5090">
        <w:t xml:space="preserve"> </w:t>
      </w:r>
      <w:r w:rsidR="00B777A3" w:rsidRPr="00AE5090">
        <w:t>report</w:t>
      </w:r>
      <w:r w:rsidR="006F49DF" w:rsidRPr="00AE5090">
        <w:t xml:space="preserve">ing they take </w:t>
      </w:r>
      <w:r w:rsidRPr="00AE5090">
        <w:t>10 to 20 medications daily.</w:t>
      </w:r>
      <w:r w:rsidRPr="00AE5090">
        <w:rPr>
          <w:rStyle w:val="FootnoteReference"/>
        </w:rPr>
        <w:footnoteReference w:id="28"/>
      </w:r>
      <w:r w:rsidRPr="00AE5090">
        <w:t xml:space="preserve"> Data from AoA’s national surveys of elderly clients show that </w:t>
      </w:r>
      <w:r w:rsidR="003F5C9A" w:rsidRPr="00AE5090">
        <w:t>HCB</w:t>
      </w:r>
      <w:r w:rsidR="00B777A3" w:rsidRPr="00AE5090">
        <w:t>S</w:t>
      </w:r>
      <w:r w:rsidR="003F5C9A" w:rsidRPr="00AE5090">
        <w:t xml:space="preserve">S </w:t>
      </w:r>
      <w:r w:rsidRPr="00AE5090">
        <w:t xml:space="preserve">services are providing these seniors with the assistance and information they </w:t>
      </w:r>
      <w:r w:rsidR="00E74A96" w:rsidRPr="00AE5090">
        <w:t>report</w:t>
      </w:r>
      <w:r w:rsidRPr="00AE5090">
        <w:t xml:space="preserve"> help</w:t>
      </w:r>
      <w:r w:rsidR="00E74A96" w:rsidRPr="00AE5090">
        <w:t>s</w:t>
      </w:r>
      <w:r w:rsidRPr="00AE5090">
        <w:t xml:space="preserve"> them </w:t>
      </w:r>
      <w:r w:rsidR="00E74A96" w:rsidRPr="00AE5090">
        <w:t xml:space="preserve">to </w:t>
      </w:r>
      <w:r w:rsidRPr="00AE5090">
        <w:t>remain at home.</w:t>
      </w:r>
      <w:r w:rsidR="00E74A96" w:rsidRPr="00AE5090">
        <w:rPr>
          <w:rStyle w:val="FootnoteReference"/>
        </w:rPr>
        <w:footnoteReference w:id="29"/>
      </w:r>
      <w:r w:rsidR="00D60A69" w:rsidRPr="00AE5090">
        <w:t xml:space="preserve"> </w:t>
      </w:r>
      <w:r w:rsidR="007C7AEC">
        <w:t xml:space="preserve"> </w:t>
      </w:r>
      <w:r w:rsidR="00D60A69" w:rsidRPr="00AE5090">
        <w:t xml:space="preserve">For example, </w:t>
      </w:r>
      <w:r w:rsidR="00D73E8A" w:rsidRPr="00AE5090">
        <w:t xml:space="preserve">over </w:t>
      </w:r>
      <w:r w:rsidR="009E5F12" w:rsidRPr="00AE5090">
        <w:t>81 </w:t>
      </w:r>
      <w:r w:rsidRPr="00AE5090">
        <w:t>percent of clients receiving case management reported that as a result of the services arranged by the case manager they were better able to care for themselves.</w:t>
      </w:r>
      <w:r w:rsidRPr="00AE5090">
        <w:rPr>
          <w:rStyle w:val="FootnoteReference"/>
        </w:rPr>
        <w:footnoteReference w:id="30"/>
      </w:r>
      <w:r w:rsidRPr="00AE5090">
        <w:t xml:space="preserve">  In addition, a study published in the Journal of </w:t>
      </w:r>
      <w:r w:rsidRPr="00AE5090">
        <w:lastRenderedPageBreak/>
        <w:t>Aging and Health shows that the services provided by the HCBSS program,  “personal care services,” are the critical services that enable frail seniors to remain in their homes and out of nursing home care.</w:t>
      </w:r>
      <w:r w:rsidRPr="00AE5090">
        <w:rPr>
          <w:rStyle w:val="FootnoteReference"/>
        </w:rPr>
        <w:footnoteReference w:id="31"/>
      </w:r>
      <w:r w:rsidRPr="00AE5090">
        <w:t xml:space="preserve">  </w:t>
      </w:r>
    </w:p>
    <w:p w:rsidR="002834FD" w:rsidRPr="00AE5090" w:rsidRDefault="002834FD" w:rsidP="002834FD">
      <w:pPr>
        <w:contextualSpacing/>
        <w:jc w:val="both"/>
        <w:rPr>
          <w:b/>
        </w:rPr>
      </w:pPr>
    </w:p>
    <w:p w:rsidR="002834FD" w:rsidRPr="00155D0B" w:rsidRDefault="002834FD" w:rsidP="002834FD">
      <w:pPr>
        <w:contextualSpacing/>
        <w:jc w:val="both"/>
      </w:pPr>
      <w:r w:rsidRPr="00AE5090">
        <w:t>Nationally, 2</w:t>
      </w:r>
      <w:r w:rsidR="00943E59" w:rsidRPr="00AE5090">
        <w:t>5</w:t>
      </w:r>
      <w:r w:rsidRPr="00AE5090">
        <w:t> percent of individuals 60 and older live alone.</w:t>
      </w:r>
      <w:r w:rsidR="00943E59" w:rsidRPr="00AE5090">
        <w:rPr>
          <w:rStyle w:val="FootnoteReference"/>
        </w:rPr>
        <w:footnoteReference w:id="32"/>
      </w:r>
      <w:r w:rsidRPr="00AE5090">
        <w:t xml:space="preserve"> </w:t>
      </w:r>
      <w:r w:rsidR="007C7AEC">
        <w:t>OAA</w:t>
      </w:r>
      <w:r w:rsidR="001B00DA" w:rsidRPr="00AE5090">
        <w:t xml:space="preserve"> programs serve a disproportionate number of people who live alon</w:t>
      </w:r>
      <w:r w:rsidR="00B777A3" w:rsidRPr="00AE5090">
        <w:t>e</w:t>
      </w:r>
      <w:r w:rsidR="001B00DA" w:rsidRPr="00AE5090">
        <w:t xml:space="preserve"> compared to the general population</w:t>
      </w:r>
      <w:r w:rsidR="00E74A96" w:rsidRPr="00AE5090">
        <w:t>.</w:t>
      </w:r>
      <w:r w:rsidR="001B00DA" w:rsidRPr="00AE5090">
        <w:t xml:space="preserve"> </w:t>
      </w:r>
      <w:r w:rsidR="00E74A96" w:rsidRPr="00AE5090">
        <w:t>F</w:t>
      </w:r>
      <w:r w:rsidR="001B00DA" w:rsidRPr="00AE5090">
        <w:t xml:space="preserve">or example, </w:t>
      </w:r>
      <w:r w:rsidR="003F0E42" w:rsidRPr="00AE5090">
        <w:t>68</w:t>
      </w:r>
      <w:r w:rsidR="009E5F12" w:rsidRPr="00AE5090">
        <w:t xml:space="preserve"> </w:t>
      </w:r>
      <w:r w:rsidR="00E74A96" w:rsidRPr="00AE5090">
        <w:t>percent</w:t>
      </w:r>
      <w:r w:rsidR="001B00DA" w:rsidRPr="00AE5090">
        <w:t xml:space="preserve"> of transportation clients live alone</w:t>
      </w:r>
      <w:r w:rsidR="007C7AEC">
        <w:t>.</w:t>
      </w:r>
      <w:r w:rsidR="00382B2C" w:rsidRPr="00AE5090">
        <w:rPr>
          <w:rStyle w:val="FootnoteReference"/>
        </w:rPr>
        <w:footnoteReference w:id="33"/>
      </w:r>
      <w:r w:rsidR="001B00DA" w:rsidRPr="00AE5090">
        <w:t xml:space="preserve"> </w:t>
      </w:r>
      <w:r w:rsidRPr="00AE5090">
        <w:t>Living</w:t>
      </w:r>
      <w:r w:rsidRPr="00155D0B">
        <w:t xml:space="preserve"> alone is a key predictor of nursing home admission, and HCBS</w:t>
      </w:r>
      <w:r w:rsidR="00B777A3">
        <w:t>S</w:t>
      </w:r>
      <w:r w:rsidRPr="00155D0B">
        <w:t xml:space="preserve"> services are critical </w:t>
      </w:r>
      <w:r w:rsidR="000D7A0B" w:rsidRPr="00155D0B">
        <w:t xml:space="preserve">for enabling them </w:t>
      </w:r>
      <w:r w:rsidRPr="00155D0B">
        <w:t xml:space="preserve">to remain at home, especially for those who do not have an informal caregiver to assist with their care.  </w:t>
      </w:r>
      <w:r w:rsidR="0024200A">
        <w:t>R</w:t>
      </w:r>
      <w:r w:rsidRPr="00155D0B">
        <w:t xml:space="preserve">esearch has </w:t>
      </w:r>
      <w:r w:rsidR="00DF28CB">
        <w:t>als</w:t>
      </w:r>
      <w:r w:rsidRPr="00155D0B">
        <w:t xml:space="preserve">o shown that childless </w:t>
      </w:r>
      <w:r w:rsidR="00A17EAC">
        <w:t>older adults</w:t>
      </w:r>
      <w:r w:rsidRPr="00155D0B">
        <w:t xml:space="preserve"> who live in a </w:t>
      </w:r>
      <w:r w:rsidR="000D7A0B" w:rsidRPr="00155D0B">
        <w:t>s</w:t>
      </w:r>
      <w:r w:rsidRPr="00155D0B">
        <w:t>tate with higher home and community-based service</w:t>
      </w:r>
      <w:r w:rsidR="00A17EAC">
        <w:t>s</w:t>
      </w:r>
      <w:r w:rsidRPr="00155D0B">
        <w:t xml:space="preserve"> expenditures had significantly lower risk of nursing home admissions.</w:t>
      </w:r>
      <w:r w:rsidRPr="00155D0B">
        <w:rPr>
          <w:rStyle w:val="FootnoteReference"/>
        </w:rPr>
        <w:footnoteReference w:id="34"/>
      </w:r>
      <w:r w:rsidRPr="00155D0B">
        <w:t xml:space="preserve">    </w:t>
      </w:r>
    </w:p>
    <w:p w:rsidR="002834FD" w:rsidRPr="00155D0B" w:rsidRDefault="002834FD" w:rsidP="002834FD">
      <w:pPr>
        <w:tabs>
          <w:tab w:val="left" w:pos="180"/>
        </w:tabs>
        <w:contextualSpacing/>
        <w:jc w:val="both"/>
      </w:pPr>
    </w:p>
    <w:p w:rsidR="002834FD" w:rsidRDefault="002834FD" w:rsidP="002834FD">
      <w:pPr>
        <w:tabs>
          <w:tab w:val="left" w:pos="180"/>
        </w:tabs>
        <w:contextualSpacing/>
        <w:jc w:val="both"/>
      </w:pPr>
      <w:r w:rsidRPr="00155D0B">
        <w:t xml:space="preserve">Federal support for OAA programs is not expected to cover the cost of serving every </w:t>
      </w:r>
      <w:r w:rsidR="000D7A0B" w:rsidRPr="00155D0B">
        <w:t>older American</w:t>
      </w:r>
      <w:r w:rsidRPr="00155D0B">
        <w:t>.</w:t>
      </w:r>
      <w:r w:rsidR="007C7AEC">
        <w:t xml:space="preserve"> T</w:t>
      </w:r>
      <w:r w:rsidRPr="00AE5090">
        <w:t xml:space="preserve">hese programs have strong partnerships with state and local governments, philanthropic organizations, and private donations that </w:t>
      </w:r>
      <w:r w:rsidR="00526576">
        <w:t xml:space="preserve">also </w:t>
      </w:r>
      <w:r w:rsidRPr="00AE5090">
        <w:t xml:space="preserve">contribute funding.  States typically  leverage resources of </w:t>
      </w:r>
      <w:r w:rsidR="007C7AEC">
        <w:t>between two and three</w:t>
      </w:r>
      <w:r w:rsidRPr="00AE5090">
        <w:t xml:space="preserve"> </w:t>
      </w:r>
      <w:r w:rsidR="007C7AEC">
        <w:t xml:space="preserve">dollars </w:t>
      </w:r>
      <w:r w:rsidRPr="00AE5090">
        <w:t>per every</w:t>
      </w:r>
      <w:r w:rsidR="007C7AEC">
        <w:t xml:space="preserve"> federal</w:t>
      </w:r>
      <w:r w:rsidRPr="00AE5090">
        <w:t xml:space="preserve"> OAA dollar, significantly exceeding the programs’ match requirements.</w:t>
      </w:r>
      <w:r w:rsidRPr="0061704C">
        <w:t xml:space="preserve"> </w:t>
      </w:r>
    </w:p>
    <w:p w:rsidR="00FD5B4E" w:rsidRDefault="00FD5B4E" w:rsidP="00EB7718">
      <w:pPr>
        <w:pStyle w:val="Heading2"/>
      </w:pPr>
      <w:bookmarkStart w:id="10" w:name="_Toc436738871"/>
    </w:p>
    <w:p w:rsidR="00B8144E" w:rsidRPr="00505FE3" w:rsidRDefault="00B8144E" w:rsidP="00EB7718">
      <w:pPr>
        <w:pStyle w:val="Heading2"/>
      </w:pPr>
      <w:r w:rsidRPr="00505FE3">
        <w:t>Nutrition Services</w:t>
      </w:r>
      <w:bookmarkEnd w:id="10"/>
    </w:p>
    <w:p w:rsidR="00AC041E" w:rsidRDefault="00AC041E" w:rsidP="00AC041E">
      <w:pPr>
        <w:contextualSpacing/>
        <w:jc w:val="both"/>
      </w:pPr>
      <w:r>
        <w:t xml:space="preserve">Nutrition Services help </w:t>
      </w:r>
      <w:r w:rsidR="00016EC5">
        <w:t>older adults</w:t>
      </w:r>
      <w:r>
        <w:t xml:space="preserve"> remain healthy and independent in their communities by providing </w:t>
      </w:r>
      <w:r w:rsidR="00FD2B2E">
        <w:t>nutritious</w:t>
      </w:r>
      <w:r>
        <w:t xml:space="preserve"> meals and </w:t>
      </w:r>
      <w:r w:rsidR="00016EC5">
        <w:t>other nutrition</w:t>
      </w:r>
      <w:r>
        <w:t xml:space="preserve"> services in a variety of settings (such as senior centers, public housing locations, religious buildings or community centers) and via home-delivery to </w:t>
      </w:r>
      <w:r w:rsidR="00016EC5">
        <w:t>older adults</w:t>
      </w:r>
      <w:r>
        <w:t xml:space="preserve"> who are homebound due to illness, disability, or geographic isolation. Nutrition Services include:</w:t>
      </w:r>
    </w:p>
    <w:p w:rsidR="00AC041E" w:rsidRDefault="00AC041E" w:rsidP="00AC041E">
      <w:pPr>
        <w:contextualSpacing/>
        <w:jc w:val="both"/>
      </w:pPr>
    </w:p>
    <w:p w:rsidR="00AC041E" w:rsidRDefault="00AC041E" w:rsidP="000E0C66">
      <w:pPr>
        <w:contextualSpacing/>
        <w:jc w:val="both"/>
      </w:pPr>
      <w:r w:rsidRPr="00AE5090">
        <w:t>Congregate Nutrition Services (Title III-C1; FY 201</w:t>
      </w:r>
      <w:r w:rsidR="00190D79" w:rsidRPr="00AE5090">
        <w:t>5</w:t>
      </w:r>
      <w:r w:rsidRPr="00AE5090">
        <w:t>: $4</w:t>
      </w:r>
      <w:r w:rsidR="00016EC5" w:rsidRPr="00AE5090">
        <w:t>38</w:t>
      </w:r>
      <w:r w:rsidRPr="00AE5090">
        <w:t>,</w:t>
      </w:r>
      <w:r w:rsidR="00E053B9" w:rsidRPr="00AE5090">
        <w:t>1</w:t>
      </w:r>
      <w:r w:rsidR="00016EC5" w:rsidRPr="00AE5090">
        <w:t>91</w:t>
      </w:r>
      <w:r w:rsidRPr="00AE5090">
        <w:t>,000):</w:t>
      </w:r>
      <w:r>
        <w:t xml:space="preserve">  Provides funding for the provision of nutritious meals and</w:t>
      </w:r>
      <w:r w:rsidR="00016EC5">
        <w:t xml:space="preserve"> nutrition</w:t>
      </w:r>
      <w:r w:rsidR="000B0EB1">
        <w:t>-</w:t>
      </w:r>
      <w:r>
        <w:t xml:space="preserve">related services in a variety of congregate settings, which helps keep older </w:t>
      </w:r>
      <w:r w:rsidR="00016EC5">
        <w:t xml:space="preserve">adults </w:t>
      </w:r>
      <w:r>
        <w:t xml:space="preserve">healthy and </w:t>
      </w:r>
      <w:r w:rsidR="00016EC5">
        <w:t xml:space="preserve">may decrease or </w:t>
      </w:r>
      <w:r>
        <w:t>prevent the need for more costly medical interventions. Established in 1972, the program centers around serving health-promoting meals, but it also presents opportunities for social engagement, health and wellness activities</w:t>
      </w:r>
      <w:r w:rsidR="00DE61CA">
        <w:t>,</w:t>
      </w:r>
      <w:r>
        <w:t xml:space="preserve"> and meaningful volunteer roles, all of which contribute to overall health and well-being.</w:t>
      </w:r>
    </w:p>
    <w:p w:rsidR="00AC041E" w:rsidRDefault="00AC041E" w:rsidP="00AC041E">
      <w:pPr>
        <w:contextualSpacing/>
        <w:jc w:val="both"/>
      </w:pPr>
    </w:p>
    <w:p w:rsidR="00AC041E" w:rsidRDefault="00AC041E" w:rsidP="000E0C66">
      <w:pPr>
        <w:contextualSpacing/>
        <w:jc w:val="both"/>
      </w:pPr>
      <w:r>
        <w:t xml:space="preserve">Home-Delivered Nutrition Services (Title III-C2; </w:t>
      </w:r>
      <w:r w:rsidRPr="00AD5B58">
        <w:t>FY 201</w:t>
      </w:r>
      <w:r w:rsidR="00190D79">
        <w:t>5</w:t>
      </w:r>
      <w:r w:rsidRPr="00AD5B58">
        <w:t>: $</w:t>
      </w:r>
      <w:r w:rsidR="0091162A">
        <w:t>2</w:t>
      </w:r>
      <w:r w:rsidR="00AE5090">
        <w:t>1</w:t>
      </w:r>
      <w:r w:rsidR="0091162A">
        <w:t>6,</w:t>
      </w:r>
      <w:r w:rsidR="00AE5090">
        <w:t>397</w:t>
      </w:r>
      <w:r w:rsidR="0091162A">
        <w:t>,</w:t>
      </w:r>
      <w:r w:rsidR="00AE5090">
        <w:t>00</w:t>
      </w:r>
      <w:r w:rsidR="0091162A">
        <w:t>0</w:t>
      </w:r>
      <w:r w:rsidRPr="00AD5B58">
        <w:t>):</w:t>
      </w:r>
      <w:r>
        <w:t xml:space="preserve"> Provides funding for nutritious meals, the delivery of meals and </w:t>
      </w:r>
      <w:r w:rsidR="00016EC5">
        <w:t>nutrition</w:t>
      </w:r>
      <w:r w:rsidR="000B0EB1">
        <w:t>-</w:t>
      </w:r>
      <w:r w:rsidR="00016EC5">
        <w:t>related services to homebound frail and/or isolated older adults.  The deliveries provide opportunities for social engagement and, in many cases,</w:t>
      </w:r>
      <w:r>
        <w:t xml:space="preserve"> an informal ‘safety check</w:t>
      </w:r>
      <w:r w:rsidR="00016EC5">
        <w:t>.</w:t>
      </w:r>
      <w:r>
        <w:t xml:space="preserve">’ </w:t>
      </w:r>
      <w:r w:rsidR="00016EC5">
        <w:t xml:space="preserve"> </w:t>
      </w:r>
      <w:r>
        <w:t xml:space="preserve"> Established in 1978, home</w:t>
      </w:r>
      <w:r w:rsidR="00016EC5">
        <w:t>-</w:t>
      </w:r>
      <w:r>
        <w:t xml:space="preserve">delivered meals are often the first </w:t>
      </w:r>
      <w:r w:rsidR="00B84DD7">
        <w:t>in-</w:t>
      </w:r>
      <w:r>
        <w:t>home service that an older adult receives and serve as a primary access point for other home</w:t>
      </w:r>
      <w:r w:rsidR="00973313">
        <w:t>-</w:t>
      </w:r>
      <w:r>
        <w:t xml:space="preserve"> and community</w:t>
      </w:r>
      <w:r w:rsidR="00973313">
        <w:t>-</w:t>
      </w:r>
      <w:r>
        <w:t>based services.</w:t>
      </w:r>
      <w:r w:rsidR="00526576">
        <w:t xml:space="preserve">  Home-delivered meals are a key element in helping older adults who may not be able to prepare their own meals remain in the community.</w:t>
      </w:r>
    </w:p>
    <w:p w:rsidR="00AC041E" w:rsidRDefault="00AC041E" w:rsidP="00AC041E">
      <w:pPr>
        <w:contextualSpacing/>
        <w:jc w:val="both"/>
      </w:pPr>
    </w:p>
    <w:p w:rsidR="00AC041E" w:rsidRDefault="00AC041E" w:rsidP="000E0C66">
      <w:pPr>
        <w:contextualSpacing/>
        <w:jc w:val="both"/>
      </w:pPr>
      <w:r w:rsidRPr="00AE5090">
        <w:lastRenderedPageBreak/>
        <w:t>Nutrition Services Incentive Program (Title III-A; FY 201</w:t>
      </w:r>
      <w:r w:rsidR="00190D79" w:rsidRPr="00AE5090">
        <w:t>5</w:t>
      </w:r>
      <w:r w:rsidRPr="00AE5090">
        <w:t>: $1</w:t>
      </w:r>
      <w:r w:rsidR="00AD5B58" w:rsidRPr="00AE5090">
        <w:t>6</w:t>
      </w:r>
      <w:r w:rsidR="00190D79" w:rsidRPr="00AE5090">
        <w:t>0</w:t>
      </w:r>
      <w:r w:rsidRPr="00AE5090">
        <w:t>,</w:t>
      </w:r>
      <w:r w:rsidR="00016EC5" w:rsidRPr="00AE5090">
        <w:t>0</w:t>
      </w:r>
      <w:r w:rsidR="00190D79" w:rsidRPr="00AE5090">
        <w:t>69</w:t>
      </w:r>
      <w:r w:rsidRPr="00AE5090">
        <w:t>,000):</w:t>
      </w:r>
      <w:r>
        <w:t xml:space="preserve"> Provides additional funding to states, territories, and eligible tribal organizations that is used exclusively to procure food products for use in the Title III- C-1 and C-2 and Title VI meal programs, and cannot be used to pay for other nutrition</w:t>
      </w:r>
      <w:r w:rsidR="000B0EB1">
        <w:t>-</w:t>
      </w:r>
      <w:r>
        <w:t>related service</w:t>
      </w:r>
      <w:r w:rsidR="00973313">
        <w:t xml:space="preserve">s or for administrative costs.  </w:t>
      </w:r>
      <w:r>
        <w:t xml:space="preserve">Funds are awarded to states and tribes based on the number of meals served in </w:t>
      </w:r>
      <w:r w:rsidR="00016EC5">
        <w:t>a</w:t>
      </w:r>
      <w:r>
        <w:t xml:space="preserve"> prior federal fiscal year.  States and tribes have the option to purchase</w:t>
      </w:r>
      <w:r w:rsidR="008F26CF">
        <w:t xml:space="preserve"> </w:t>
      </w:r>
      <w:r w:rsidR="008F26CF" w:rsidRPr="008F26CF">
        <w:rPr>
          <w:i/>
        </w:rPr>
        <w:t>USDA Foods</w:t>
      </w:r>
      <w:r w:rsidR="008F26CF">
        <w:t xml:space="preserve"> (previously referred to as</w:t>
      </w:r>
      <w:r>
        <w:t xml:space="preserve"> commodities</w:t>
      </w:r>
      <w:r w:rsidR="008F26CF">
        <w:t>)</w:t>
      </w:r>
      <w:r>
        <w:t xml:space="preserve"> directly from the </w:t>
      </w:r>
      <w:r w:rsidR="008F26CF">
        <w:t>U.S. Department of Agriculture (US</w:t>
      </w:r>
      <w:r w:rsidR="00B84DD7">
        <w:t>D</w:t>
      </w:r>
      <w:r w:rsidR="008F26CF">
        <w:t xml:space="preserve">A) </w:t>
      </w:r>
      <w:r>
        <w:t xml:space="preserve">with any portion of their award if they determine that doing so will enable them to better meet the needs of </w:t>
      </w:r>
      <w:r w:rsidR="008F26CF">
        <w:t>older adults.</w:t>
      </w:r>
      <w:r>
        <w:t xml:space="preserve"> </w:t>
      </w:r>
    </w:p>
    <w:p w:rsidR="00AC041E" w:rsidRDefault="00AC041E" w:rsidP="00AC041E">
      <w:pPr>
        <w:contextualSpacing/>
        <w:jc w:val="both"/>
      </w:pPr>
    </w:p>
    <w:p w:rsidR="00AC041E" w:rsidRDefault="00AC041E" w:rsidP="00AC041E">
      <w:pPr>
        <w:contextualSpacing/>
        <w:jc w:val="both"/>
      </w:pPr>
      <w:r>
        <w:t>The meals provided through these programs fulfill the standards set by the current Dietary Guidelines for Americans and provide a minimum of 33 percent of the Dietary Reference Intake, as established by the Food and Nutrition Board of the Institute of Medicine of the National Academy of Sciences</w:t>
      </w:r>
      <w:r w:rsidR="00973313">
        <w:t>.</w:t>
      </w:r>
      <w:r w:rsidR="0029612B">
        <w:rPr>
          <w:rStyle w:val="FootnoteReference"/>
        </w:rPr>
        <w:footnoteReference w:id="35"/>
      </w:r>
      <w:r>
        <w:t xml:space="preserve"> </w:t>
      </w:r>
      <w:r w:rsidR="008F26CF">
        <w:t xml:space="preserve"> </w:t>
      </w:r>
      <w:r w:rsidR="008F26CF" w:rsidRPr="008F26CF">
        <w:t>Meals also comply with applicable provisions of state and local food safety codes, are appealing, and meet special dietary needs such as health, religious, cultural/ethnic needs</w:t>
      </w:r>
      <w:r w:rsidR="008F26CF">
        <w:t>,</w:t>
      </w:r>
      <w:r w:rsidR="008F26CF" w:rsidRPr="008F26CF">
        <w:t xml:space="preserve"> as feasible. The nutrition</w:t>
      </w:r>
      <w:r w:rsidR="000B0EB1">
        <w:t>-</w:t>
      </w:r>
      <w:r w:rsidR="008F26CF" w:rsidRPr="008F26CF">
        <w:t>related services provided through these programs may include nutrition education, nutrition counseling</w:t>
      </w:r>
      <w:r w:rsidR="00B84DD7">
        <w:t>,</w:t>
      </w:r>
      <w:r w:rsidR="008F26CF" w:rsidRPr="008F26CF">
        <w:t xml:space="preserve"> and other nutrition services, as appropriate, based on the needs of meal participants.</w:t>
      </w:r>
    </w:p>
    <w:p w:rsidR="00AC041E" w:rsidRDefault="00AC041E" w:rsidP="00AC041E">
      <w:pPr>
        <w:contextualSpacing/>
        <w:jc w:val="both"/>
      </w:pPr>
    </w:p>
    <w:p w:rsidR="00AC041E" w:rsidRPr="00AE5090" w:rsidRDefault="00AC041E" w:rsidP="00AC041E">
      <w:pPr>
        <w:contextualSpacing/>
        <w:jc w:val="both"/>
      </w:pPr>
      <w:r w:rsidRPr="00AE5090">
        <w:t xml:space="preserve">Nutrition Services help </w:t>
      </w:r>
      <w:r w:rsidR="004944BF" w:rsidRPr="00AE5090">
        <w:t xml:space="preserve">approximately </w:t>
      </w:r>
      <w:r w:rsidR="00382B2C" w:rsidRPr="00AE5090">
        <w:t>2.4</w:t>
      </w:r>
      <w:r w:rsidRPr="00AE5090">
        <w:t xml:space="preserve"> million older adults receive the meals they need to stay healthy and decrease their risk of disability.</w:t>
      </w:r>
      <w:r w:rsidRPr="00AE5090">
        <w:rPr>
          <w:rStyle w:val="FootnoteReference"/>
        </w:rPr>
        <w:footnoteReference w:id="36"/>
      </w:r>
      <w:r w:rsidRPr="00AE5090">
        <w:t xml:space="preserve"> </w:t>
      </w:r>
      <w:r w:rsidR="0024200A" w:rsidRPr="00AE5090">
        <w:t xml:space="preserve">Because the prevalence of multiple chronic conditions is higher among congregate and home-delivered program participants than for the general Medicare population, the provision of healthy meals, access to lifestyle modification programs and evidence-based advice such as nutrition education and counseling are important. Overall, 76 percent of community-living Medicare beneficiaries age 65 or older have multiple </w:t>
      </w:r>
      <w:r w:rsidR="00526576">
        <w:t xml:space="preserve">chronic </w:t>
      </w:r>
      <w:r w:rsidR="0024200A" w:rsidRPr="00AE5090">
        <w:t xml:space="preserve">conditions.  Data from AoA’s </w:t>
      </w:r>
      <w:r w:rsidR="00AE5090" w:rsidRPr="00AE5090">
        <w:t xml:space="preserve">FY </w:t>
      </w:r>
      <w:r w:rsidR="0029612B" w:rsidRPr="00AE5090">
        <w:t>2015 N</w:t>
      </w:r>
      <w:r w:rsidR="0024200A" w:rsidRPr="00AE5090">
        <w:t xml:space="preserve">ational </w:t>
      </w:r>
      <w:r w:rsidR="0029612B" w:rsidRPr="00AE5090">
        <w:t>S</w:t>
      </w:r>
      <w:r w:rsidR="0024200A" w:rsidRPr="00AE5090">
        <w:t xml:space="preserve">urvey of </w:t>
      </w:r>
      <w:r w:rsidR="0029612B" w:rsidRPr="00AE5090">
        <w:t>O</w:t>
      </w:r>
      <w:r w:rsidR="0024200A" w:rsidRPr="00AE5090">
        <w:t xml:space="preserve">lder </w:t>
      </w:r>
      <w:r w:rsidR="0029612B" w:rsidRPr="00AE5090">
        <w:t>A</w:t>
      </w:r>
      <w:r w:rsidR="0024200A" w:rsidRPr="00AE5090">
        <w:t xml:space="preserve">dult </w:t>
      </w:r>
      <w:r w:rsidR="0029612B" w:rsidRPr="00AE5090">
        <w:t>P</w:t>
      </w:r>
      <w:r w:rsidR="0024200A" w:rsidRPr="00AE5090">
        <w:t>articipants indicate that 95 percent of home-delivered and congregate participants have multiple chronic conditions</w:t>
      </w:r>
      <w:r w:rsidR="007F1293" w:rsidRPr="00AE5090">
        <w:t>, and that</w:t>
      </w:r>
      <w:r w:rsidR="0024200A" w:rsidRPr="00AE5090">
        <w:t xml:space="preserve"> </w:t>
      </w:r>
      <w:r w:rsidR="007F1293" w:rsidRPr="00AE5090">
        <w:t>4</w:t>
      </w:r>
      <w:r w:rsidR="0024200A" w:rsidRPr="00AE5090">
        <w:t xml:space="preserve">3 percent of congregate and 56 percent of home-delivered participants have six or more illnesses or conditions. Over 30 percent of congregate and 51 percent of home-delivered participants take </w:t>
      </w:r>
      <w:r w:rsidR="00973313">
        <w:t>more than</w:t>
      </w:r>
      <w:r w:rsidR="0024200A" w:rsidRPr="00AE5090">
        <w:t xml:space="preserve"> six medications per day and some take more than 20 medications.  The congregate and home-delivered program participants are significantly less healthy than the general Medicare population and access to adequate healthy meals is essential to their well-being. </w:t>
      </w:r>
      <w:r w:rsidRPr="00AE5090">
        <w:t xml:space="preserve"> </w:t>
      </w:r>
      <w:r w:rsidR="00526576">
        <w:t>Meals are also an important element in deferral or delay of institutional placement.</w:t>
      </w:r>
    </w:p>
    <w:p w:rsidR="005C24C9" w:rsidRPr="00AE5090" w:rsidRDefault="005C24C9" w:rsidP="00AC041E">
      <w:pPr>
        <w:contextualSpacing/>
        <w:jc w:val="both"/>
      </w:pPr>
    </w:p>
    <w:p w:rsidR="00AC041E" w:rsidRPr="00AE5090" w:rsidRDefault="00AC041E" w:rsidP="00AC041E">
      <w:pPr>
        <w:contextualSpacing/>
        <w:jc w:val="both"/>
      </w:pPr>
      <w:r w:rsidRPr="00AE5090">
        <w:t>Older adults served in the congregate and home-delivered nutrition programs demonstrate a need for healthy</w:t>
      </w:r>
      <w:r w:rsidR="00973313">
        <w:t>,</w:t>
      </w:r>
      <w:r w:rsidRPr="00AE5090">
        <w:t xml:space="preserve"> prepared meals, rather than simply access to food. While the 75 year-ol</w:t>
      </w:r>
      <w:r w:rsidR="00EF39DB" w:rsidRPr="00AE5090">
        <w:t>d and over cohort makes up 3</w:t>
      </w:r>
      <w:r w:rsidR="00F851C4" w:rsidRPr="00AE5090">
        <w:t>0</w:t>
      </w:r>
      <w:r w:rsidR="00F816E3" w:rsidRPr="00AE5090">
        <w:t xml:space="preserve"> percent</w:t>
      </w:r>
      <w:r w:rsidRPr="00AE5090">
        <w:t xml:space="preserve"> of the U.S. population</w:t>
      </w:r>
      <w:r w:rsidR="00EF39DB" w:rsidRPr="00AE5090">
        <w:t xml:space="preserve"> age 60 and over</w:t>
      </w:r>
      <w:r w:rsidRPr="00AE5090">
        <w:t xml:space="preserve">, </w:t>
      </w:r>
      <w:r w:rsidR="00AC678F" w:rsidRPr="00AE5090">
        <w:t>half (</w:t>
      </w:r>
      <w:r w:rsidR="005254B6" w:rsidRPr="00AE5090">
        <w:t>51.7</w:t>
      </w:r>
      <w:r w:rsidR="00A408EE" w:rsidRPr="00AE5090">
        <w:t xml:space="preserve"> </w:t>
      </w:r>
      <w:r w:rsidR="00AC678F" w:rsidRPr="00AE5090">
        <w:t>percent)</w:t>
      </w:r>
      <w:r w:rsidRPr="00AE5090">
        <w:t xml:space="preserve"> of congregate and</w:t>
      </w:r>
      <w:r w:rsidR="00EF39DB" w:rsidRPr="00AE5090">
        <w:t xml:space="preserve"> almost</w:t>
      </w:r>
      <w:r w:rsidRPr="00AE5090">
        <w:t xml:space="preserve"> </w:t>
      </w:r>
      <w:r w:rsidR="00AC678F" w:rsidRPr="00AE5090">
        <w:t>two-thirds (</w:t>
      </w:r>
      <w:r w:rsidR="005254B6" w:rsidRPr="00AE5090">
        <w:t>64.8</w:t>
      </w:r>
      <w:r w:rsidR="00A408EE" w:rsidRPr="00AE5090">
        <w:t xml:space="preserve"> </w:t>
      </w:r>
      <w:r w:rsidR="00AC678F" w:rsidRPr="00AE5090">
        <w:t>percent)</w:t>
      </w:r>
      <w:r w:rsidRPr="00AE5090">
        <w:t xml:space="preserve"> of home</w:t>
      </w:r>
      <w:r w:rsidR="00AC678F" w:rsidRPr="00AE5090">
        <w:t>-</w:t>
      </w:r>
      <w:r w:rsidRPr="00AE5090">
        <w:t>delivered meal participants are aged 75 years or older.</w:t>
      </w:r>
      <w:r w:rsidR="00AC678F" w:rsidRPr="00AE5090">
        <w:rPr>
          <w:rStyle w:val="FootnoteReference"/>
        </w:rPr>
        <w:footnoteReference w:id="37"/>
      </w:r>
      <w:r w:rsidRPr="00AE5090">
        <w:t xml:space="preserve"> </w:t>
      </w:r>
    </w:p>
    <w:p w:rsidR="00AC041E" w:rsidRPr="00AE5090" w:rsidRDefault="00AC041E" w:rsidP="00AC041E">
      <w:pPr>
        <w:contextualSpacing/>
        <w:jc w:val="both"/>
      </w:pPr>
    </w:p>
    <w:p w:rsidR="00AC041E" w:rsidRPr="00AE5090" w:rsidRDefault="00F251A6" w:rsidP="00AC041E">
      <w:pPr>
        <w:contextualSpacing/>
        <w:jc w:val="both"/>
      </w:pPr>
      <w:r w:rsidRPr="00AE5090">
        <w:t xml:space="preserve">Approximately </w:t>
      </w:r>
      <w:r w:rsidR="004869B2" w:rsidRPr="00AE5090">
        <w:t>10</w:t>
      </w:r>
      <w:r w:rsidR="006A4AC2" w:rsidRPr="00AE5090">
        <w:t xml:space="preserve"> </w:t>
      </w:r>
      <w:r w:rsidRPr="00AE5090">
        <w:t xml:space="preserve">percent of congregate and </w:t>
      </w:r>
      <w:r w:rsidR="006A4AC2" w:rsidRPr="00AE5090">
        <w:t xml:space="preserve">over </w:t>
      </w:r>
      <w:r w:rsidR="005254B6" w:rsidRPr="00AE5090">
        <w:t xml:space="preserve">80 </w:t>
      </w:r>
      <w:r w:rsidR="00AC041E" w:rsidRPr="00AE5090">
        <w:t xml:space="preserve">percent of home-delivered participants indicate that they have three or more impairments in instrumental activities of daily living </w:t>
      </w:r>
      <w:r w:rsidR="00AC041E" w:rsidRPr="00AE5090">
        <w:lastRenderedPageBreak/>
        <w:t>(IADLs)</w:t>
      </w:r>
      <w:r w:rsidR="009B6437" w:rsidRPr="00AE5090">
        <w:t>.</w:t>
      </w:r>
      <w:r w:rsidR="00A931AB" w:rsidRPr="00AE5090">
        <w:rPr>
          <w:rStyle w:val="FootnoteReference"/>
        </w:rPr>
        <w:footnoteReference w:id="38"/>
      </w:r>
      <w:r w:rsidR="00AC041E" w:rsidRPr="00AE5090">
        <w:t xml:space="preserve">  The data also indicate that </w:t>
      </w:r>
      <w:r w:rsidR="004869B2" w:rsidRPr="00AE5090">
        <w:t>19</w:t>
      </w:r>
      <w:r w:rsidR="006A4AC2" w:rsidRPr="00AE5090">
        <w:t xml:space="preserve"> </w:t>
      </w:r>
      <w:r w:rsidRPr="00AE5090">
        <w:t xml:space="preserve">percent of congregate and </w:t>
      </w:r>
      <w:r w:rsidR="004869B2" w:rsidRPr="00AE5090">
        <w:t>52</w:t>
      </w:r>
      <w:r w:rsidR="006A4AC2" w:rsidRPr="00AE5090">
        <w:t xml:space="preserve"> </w:t>
      </w:r>
      <w:r w:rsidR="00AC041E" w:rsidRPr="00AE5090">
        <w:t xml:space="preserve">percent of home-delivered participants </w:t>
      </w:r>
      <w:r w:rsidR="004869B2" w:rsidRPr="00AE5090">
        <w:t>have difficulty</w:t>
      </w:r>
      <w:r w:rsidR="00AC041E" w:rsidRPr="00AE5090">
        <w:t xml:space="preserve"> getting outside the house, thus limiting their ability to shop for food themselves.</w:t>
      </w:r>
      <w:r w:rsidR="00AC678F" w:rsidRPr="00AE5090">
        <w:rPr>
          <w:rStyle w:val="FootnoteReference"/>
        </w:rPr>
        <w:footnoteReference w:id="39"/>
      </w:r>
      <w:r w:rsidR="00AC041E" w:rsidRPr="00AE5090">
        <w:t xml:space="preserve"> The number of home-delivered meal recipients with severe disabilities (three or more </w:t>
      </w:r>
      <w:r w:rsidR="0024200A" w:rsidRPr="00AE5090">
        <w:t>a</w:t>
      </w:r>
      <w:r w:rsidR="00AC041E" w:rsidRPr="00AE5090">
        <w:t xml:space="preserve">ctivities of </w:t>
      </w:r>
      <w:r w:rsidR="0024200A" w:rsidRPr="00AE5090">
        <w:t>d</w:t>
      </w:r>
      <w:r w:rsidR="00A931AB" w:rsidRPr="00AE5090">
        <w:t xml:space="preserve">aily </w:t>
      </w:r>
      <w:r w:rsidR="0024200A" w:rsidRPr="00AE5090">
        <w:t>l</w:t>
      </w:r>
      <w:r w:rsidR="00A931AB" w:rsidRPr="00AE5090">
        <w:t xml:space="preserve">iving) totaled </w:t>
      </w:r>
      <w:r w:rsidR="005254B6" w:rsidRPr="00AE5090">
        <w:t>nearly 330,000</w:t>
      </w:r>
      <w:r w:rsidR="00AC041E" w:rsidRPr="00AE5090">
        <w:t xml:space="preserve"> in</w:t>
      </w:r>
      <w:r w:rsidR="00A931AB" w:rsidRPr="00AE5090">
        <w:t xml:space="preserve"> FY </w:t>
      </w:r>
      <w:r w:rsidR="005254B6" w:rsidRPr="00AE5090">
        <w:t>2015</w:t>
      </w:r>
      <w:r w:rsidR="00AC041E" w:rsidRPr="00AE5090">
        <w:t>.</w:t>
      </w:r>
      <w:r w:rsidR="005254B6" w:rsidRPr="00AE5090">
        <w:rPr>
          <w:rStyle w:val="FootnoteReference"/>
        </w:rPr>
        <w:footnoteReference w:id="40"/>
      </w:r>
      <w:r w:rsidR="002D259F">
        <w:t xml:space="preserve"> </w:t>
      </w:r>
      <w:r w:rsidR="00AC041E" w:rsidRPr="00AE5090">
        <w:t xml:space="preserve">This level of disability is frequently associated with nursing home admission, and demonstrates the extreme frailty of a significant number of older adults receiving home-delivered meals.   </w:t>
      </w:r>
    </w:p>
    <w:p w:rsidR="00AC041E" w:rsidRPr="00AE5090" w:rsidRDefault="00AC041E" w:rsidP="00AC041E">
      <w:pPr>
        <w:contextualSpacing/>
        <w:jc w:val="both"/>
      </w:pPr>
    </w:p>
    <w:p w:rsidR="00AC041E" w:rsidRPr="00AE5090" w:rsidRDefault="00AC041E" w:rsidP="00AC041E">
      <w:pPr>
        <w:contextualSpacing/>
        <w:jc w:val="both"/>
      </w:pPr>
      <w:r w:rsidRPr="00AE5090">
        <w:t>Nationally, 25 percent of individuals age 60 years and older live alone.</w:t>
      </w:r>
      <w:r w:rsidR="00AC678F" w:rsidRPr="00AE5090">
        <w:rPr>
          <w:rStyle w:val="FootnoteReference"/>
        </w:rPr>
        <w:footnoteReference w:id="41"/>
      </w:r>
      <w:r w:rsidRPr="00AE5090">
        <w:t xml:space="preserve">  However</w:t>
      </w:r>
      <w:r w:rsidR="00F816E3" w:rsidRPr="00AE5090">
        <w:t>,</w:t>
      </w:r>
      <w:r w:rsidRPr="00AE5090">
        <w:t xml:space="preserve"> due to</w:t>
      </w:r>
      <w:r w:rsidR="002A4FAB" w:rsidRPr="00AE5090">
        <w:t xml:space="preserve"> the</w:t>
      </w:r>
      <w:r w:rsidRPr="00AE5090">
        <w:t xml:space="preserve"> OAA’s requirement to target services to older adults most in need to help them maintain t</w:t>
      </w:r>
      <w:r w:rsidR="00A931AB" w:rsidRPr="00AE5090">
        <w:t xml:space="preserve">heir health and independence, </w:t>
      </w:r>
      <w:r w:rsidR="005254B6" w:rsidRPr="00AE5090">
        <w:t xml:space="preserve">45 </w:t>
      </w:r>
      <w:r w:rsidR="00A77FBF" w:rsidRPr="00AE5090">
        <w:t xml:space="preserve">percent of congregate and </w:t>
      </w:r>
      <w:r w:rsidR="004869B2" w:rsidRPr="00AE5090">
        <w:t>5</w:t>
      </w:r>
      <w:r w:rsidR="00C87372" w:rsidRPr="00AE5090">
        <w:t>4</w:t>
      </w:r>
      <w:r w:rsidR="00013AB5" w:rsidRPr="00AE5090">
        <w:t xml:space="preserve"> </w:t>
      </w:r>
      <w:r w:rsidRPr="00AE5090">
        <w:t>percent of home-delivered participants live alone.</w:t>
      </w:r>
      <w:r w:rsidR="00AC678F" w:rsidRPr="00AE5090">
        <w:rPr>
          <w:rStyle w:val="FootnoteReference"/>
        </w:rPr>
        <w:footnoteReference w:id="42"/>
      </w:r>
      <w:r w:rsidRPr="00AE5090">
        <w:t xml:space="preserve">  Living alone is a risk factor for social isolation, poorer health</w:t>
      </w:r>
      <w:r w:rsidR="00ED3671" w:rsidRPr="00AE5090">
        <w:t>,</w:t>
      </w:r>
      <w:r w:rsidRPr="00AE5090">
        <w:t xml:space="preserve"> and nursing home placement.</w:t>
      </w:r>
    </w:p>
    <w:p w:rsidR="00AC041E" w:rsidRPr="00AE5090" w:rsidRDefault="00AC041E" w:rsidP="00AC041E">
      <w:pPr>
        <w:contextualSpacing/>
        <w:jc w:val="both"/>
      </w:pPr>
    </w:p>
    <w:p w:rsidR="00AC041E" w:rsidRPr="00AE5090" w:rsidRDefault="00AC041E" w:rsidP="00AC041E">
      <w:pPr>
        <w:contextualSpacing/>
        <w:jc w:val="both"/>
      </w:pPr>
      <w:r w:rsidRPr="00AE5090">
        <w:t>Data from AoA’s national surveys of older adult participants show that Nutrition Services are effectively helping older adults improve their nutritional intake and remain at home. Fo</w:t>
      </w:r>
      <w:r w:rsidR="00F457FB" w:rsidRPr="00AE5090">
        <w:t xml:space="preserve">r example, data indicate that </w:t>
      </w:r>
      <w:r w:rsidR="00C87372" w:rsidRPr="00AE5090">
        <w:t>78</w:t>
      </w:r>
      <w:r w:rsidR="006403D4" w:rsidRPr="00AE5090">
        <w:t xml:space="preserve"> </w:t>
      </w:r>
      <w:r w:rsidR="00F457FB" w:rsidRPr="00AE5090">
        <w:t xml:space="preserve">percent of congregate and </w:t>
      </w:r>
      <w:r w:rsidR="00C87372" w:rsidRPr="00AE5090">
        <w:t>83</w:t>
      </w:r>
      <w:r w:rsidR="006403D4" w:rsidRPr="00AE5090">
        <w:t xml:space="preserve"> </w:t>
      </w:r>
      <w:r w:rsidRPr="00AE5090">
        <w:t>percent of home-delivered meal participants say they eat healthier m</w:t>
      </w:r>
      <w:r w:rsidR="00F457FB" w:rsidRPr="00AE5090">
        <w:t xml:space="preserve">eals due to the programs, and </w:t>
      </w:r>
      <w:r w:rsidR="006403D4" w:rsidRPr="00AE5090">
        <w:t xml:space="preserve">61 </w:t>
      </w:r>
      <w:r w:rsidRPr="00AE5090">
        <w:t xml:space="preserve">percent of congregate and </w:t>
      </w:r>
      <w:r w:rsidR="00C87372" w:rsidRPr="00AE5090">
        <w:t>92</w:t>
      </w:r>
      <w:r w:rsidR="006403D4" w:rsidRPr="00AE5090">
        <w:t xml:space="preserve"> </w:t>
      </w:r>
      <w:r w:rsidRPr="00AE5090">
        <w:t>percent of home-delivered meal recipients say that the meals enable them to continue living in their homes.</w:t>
      </w:r>
      <w:r w:rsidR="00AC678F" w:rsidRPr="00AE5090">
        <w:rPr>
          <w:rStyle w:val="FootnoteReference"/>
        </w:rPr>
        <w:footnoteReference w:id="43"/>
      </w:r>
      <w:r w:rsidRPr="00AE5090">
        <w:t xml:space="preserve">  Independent research has found that states that invest more in delivering OAA home-delivered meals to older adults’ homes have lower rates of “low-care” </w:t>
      </w:r>
      <w:r w:rsidR="008F26CF" w:rsidRPr="00AE5090">
        <w:t>older adults</w:t>
      </w:r>
      <w:r w:rsidRPr="00AE5090">
        <w:t xml:space="preserve"> in nursing homes after adjusting for several other factors.</w:t>
      </w:r>
      <w:r w:rsidR="00801C4E" w:rsidRPr="00AE5090">
        <w:rPr>
          <w:rStyle w:val="FootnoteReference"/>
        </w:rPr>
        <w:footnoteReference w:id="44"/>
      </w:r>
      <w:r w:rsidRPr="00AE5090">
        <w:t xml:space="preserve">  For every $25 per year per older adult that states spend on home-delivered meals, the state reduces their percentage of </w:t>
      </w:r>
      <w:r w:rsidR="00526576">
        <w:t xml:space="preserve">these lower needs </w:t>
      </w:r>
      <w:r w:rsidRPr="00AE5090">
        <w:t xml:space="preserve">nursing home residents by </w:t>
      </w:r>
      <w:r w:rsidR="00AC678F" w:rsidRPr="00AE5090">
        <w:t>one</w:t>
      </w:r>
      <w:r w:rsidRPr="00AE5090">
        <w:t xml:space="preserve"> percent when compared to the national average.</w:t>
      </w:r>
      <w:r w:rsidR="00AC678F" w:rsidRPr="00AE5090">
        <w:rPr>
          <w:rStyle w:val="FootnoteReference"/>
        </w:rPr>
        <w:footnoteReference w:id="45"/>
      </w:r>
      <w:r w:rsidRPr="00AE5090">
        <w:t xml:space="preserve">  </w:t>
      </w:r>
      <w:r w:rsidR="00526576">
        <w:t>This evidence is a testimonial to the savings gained from this foundational home- and community-based service.</w:t>
      </w:r>
    </w:p>
    <w:p w:rsidR="00AC041E" w:rsidRPr="00AE5090" w:rsidRDefault="00AC041E" w:rsidP="00AC041E">
      <w:pPr>
        <w:contextualSpacing/>
        <w:jc w:val="both"/>
      </w:pPr>
    </w:p>
    <w:p w:rsidR="00AC041E" w:rsidRPr="00AE5090" w:rsidRDefault="00AC041E" w:rsidP="00AC041E">
      <w:pPr>
        <w:contextualSpacing/>
        <w:jc w:val="both"/>
      </w:pPr>
      <w:r w:rsidRPr="00AE5090">
        <w:t>AoA’s annual performance data further demonstrate that these programs are highly valued by older</w:t>
      </w:r>
      <w:r w:rsidR="00526576">
        <w:t xml:space="preserve"> people</w:t>
      </w:r>
      <w:r w:rsidRPr="00AE5090">
        <w:t xml:space="preserve"> who need assistance in order to remain healthy and independent in their homes. </w:t>
      </w:r>
      <w:r w:rsidR="00957C82" w:rsidRPr="00AE5090">
        <w:t>Nearly 90</w:t>
      </w:r>
      <w:r w:rsidRPr="00AE5090">
        <w:t xml:space="preserve"> percent of home-delivered meal clients and </w:t>
      </w:r>
      <w:r w:rsidR="00957C82" w:rsidRPr="00AE5090">
        <w:t xml:space="preserve">over 90 </w:t>
      </w:r>
      <w:r w:rsidR="00F816E3" w:rsidRPr="00AE5090">
        <w:t xml:space="preserve">percent </w:t>
      </w:r>
      <w:r w:rsidRPr="00AE5090">
        <w:t>of congregate participants rate the meal as good to excellent</w:t>
      </w:r>
      <w:r w:rsidR="008F26CF" w:rsidRPr="00AE5090">
        <w:t>.</w:t>
      </w:r>
      <w:r w:rsidR="00466EC0" w:rsidRPr="00AE5090">
        <w:rPr>
          <w:rStyle w:val="FootnoteReference"/>
        </w:rPr>
        <w:footnoteReference w:id="46"/>
      </w:r>
      <w:r w:rsidR="008F26CF" w:rsidRPr="00AE5090">
        <w:t xml:space="preserve"> </w:t>
      </w:r>
      <w:r w:rsidRPr="00AE5090">
        <w:t xml:space="preserve"> The most recent data on how these nutrition programs are helping </w:t>
      </w:r>
      <w:r w:rsidR="008F26CF" w:rsidRPr="00AE5090">
        <w:t>older adults</w:t>
      </w:r>
      <w:r w:rsidRPr="00AE5090">
        <w:t xml:space="preserve"> remain healthy and independent in their homes include:</w:t>
      </w:r>
    </w:p>
    <w:p w:rsidR="00AC041E" w:rsidRPr="00AE5090" w:rsidRDefault="00AC041E" w:rsidP="00AC041E">
      <w:pPr>
        <w:contextualSpacing/>
        <w:jc w:val="both"/>
      </w:pPr>
    </w:p>
    <w:p w:rsidR="00AC041E" w:rsidRDefault="00AC041E" w:rsidP="000E0C66">
      <w:pPr>
        <w:contextualSpacing/>
        <w:jc w:val="both"/>
      </w:pPr>
      <w:r w:rsidRPr="00AE5090">
        <w:rPr>
          <w:i/>
        </w:rPr>
        <w:t>Home-Delivered Nutrition Services</w:t>
      </w:r>
      <w:r w:rsidRPr="00AE5090">
        <w:t xml:space="preserve"> provide</w:t>
      </w:r>
      <w:r w:rsidR="00466EC0" w:rsidRPr="00AE5090">
        <w:t xml:space="preserve">d </w:t>
      </w:r>
      <w:r w:rsidR="005254B6" w:rsidRPr="00AE5090">
        <w:t>over 140.5</w:t>
      </w:r>
      <w:r w:rsidR="006A7972" w:rsidRPr="00AE5090">
        <w:t xml:space="preserve"> </w:t>
      </w:r>
      <w:r w:rsidR="00466EC0" w:rsidRPr="00AE5090">
        <w:t xml:space="preserve">million meals to </w:t>
      </w:r>
      <w:r w:rsidR="006403D4" w:rsidRPr="00AE5090">
        <w:t xml:space="preserve">over </w:t>
      </w:r>
      <w:r w:rsidR="006A7972" w:rsidRPr="00AE5090">
        <w:t>849,00</w:t>
      </w:r>
      <w:r w:rsidR="002D259F">
        <w:t>0</w:t>
      </w:r>
      <w:r w:rsidR="00466EC0" w:rsidRPr="00AE5090">
        <w:t xml:space="preserve"> individuals in FY </w:t>
      </w:r>
      <w:r w:rsidR="006A7972" w:rsidRPr="00AE5090">
        <w:t>2015</w:t>
      </w:r>
      <w:r w:rsidR="003E613B" w:rsidRPr="00AE5090">
        <w:t>.</w:t>
      </w:r>
      <w:r w:rsidR="00466EC0" w:rsidRPr="00AE5090">
        <w:rPr>
          <w:rStyle w:val="FootnoteReference"/>
        </w:rPr>
        <w:footnoteReference w:id="47"/>
      </w:r>
    </w:p>
    <w:p w:rsidR="00FD5B4E" w:rsidRPr="00AE5090" w:rsidRDefault="00FD5B4E" w:rsidP="000E0C66">
      <w:pPr>
        <w:contextualSpacing/>
        <w:jc w:val="both"/>
      </w:pPr>
    </w:p>
    <w:p w:rsidR="00AC041E" w:rsidRPr="00AE5090" w:rsidRDefault="00AC041E" w:rsidP="000E0C66">
      <w:pPr>
        <w:contextualSpacing/>
        <w:jc w:val="both"/>
      </w:pPr>
      <w:r w:rsidRPr="00AE5090">
        <w:rPr>
          <w:i/>
        </w:rPr>
        <w:lastRenderedPageBreak/>
        <w:t>Congregate Nutrition Services</w:t>
      </w:r>
      <w:r w:rsidR="00466EC0" w:rsidRPr="00AE5090">
        <w:t xml:space="preserve"> provided </w:t>
      </w:r>
      <w:r w:rsidR="005254B6" w:rsidRPr="00AE5090">
        <w:t>nearly 79</w:t>
      </w:r>
      <w:r w:rsidR="006403D4" w:rsidRPr="00AE5090">
        <w:t xml:space="preserve"> </w:t>
      </w:r>
      <w:r w:rsidRPr="00AE5090">
        <w:t xml:space="preserve">million meals to </w:t>
      </w:r>
      <w:r w:rsidR="007514DB" w:rsidRPr="00AE5090">
        <w:t xml:space="preserve">nearly </w:t>
      </w:r>
      <w:r w:rsidRPr="00AE5090">
        <w:t xml:space="preserve">1.6 million </w:t>
      </w:r>
      <w:r w:rsidR="008F26CF" w:rsidRPr="00AE5090">
        <w:t>older adults</w:t>
      </w:r>
      <w:r w:rsidRPr="00AE5090">
        <w:t xml:space="preserve"> in a variety of community settings in </w:t>
      </w:r>
      <w:r w:rsidR="00466EC0" w:rsidRPr="00AE5090">
        <w:t xml:space="preserve">FY </w:t>
      </w:r>
      <w:r w:rsidR="006A7972" w:rsidRPr="00AE5090">
        <w:t>2015</w:t>
      </w:r>
      <w:r w:rsidR="003E613B" w:rsidRPr="00AE5090">
        <w:t>.</w:t>
      </w:r>
      <w:r w:rsidR="00466EC0" w:rsidRPr="00AE5090">
        <w:rPr>
          <w:rStyle w:val="FootnoteReference"/>
        </w:rPr>
        <w:footnoteReference w:id="48"/>
      </w:r>
    </w:p>
    <w:p w:rsidR="00AC041E" w:rsidRPr="00AE5090" w:rsidRDefault="00AC041E" w:rsidP="00AC041E">
      <w:pPr>
        <w:contextualSpacing/>
        <w:jc w:val="both"/>
      </w:pPr>
    </w:p>
    <w:p w:rsidR="00AC041E" w:rsidRPr="00466EC0" w:rsidRDefault="00AC041E" w:rsidP="00AC041E">
      <w:pPr>
        <w:contextualSpacing/>
        <w:jc w:val="both"/>
      </w:pPr>
      <w:r w:rsidRPr="00AE5090">
        <w:t>Consistent with the OAA’s requirement to target services to those most in need to help them maintain their health an</w:t>
      </w:r>
      <w:r w:rsidR="00466EC0" w:rsidRPr="00AE5090">
        <w:t xml:space="preserve">d independence, approximately </w:t>
      </w:r>
      <w:r w:rsidR="00C87372" w:rsidRPr="00AE5090">
        <w:t>67</w:t>
      </w:r>
      <w:r w:rsidR="006403D4" w:rsidRPr="00AE5090">
        <w:t xml:space="preserve"> </w:t>
      </w:r>
      <w:r w:rsidRPr="00AE5090">
        <w:t>percent of home-delivered meal recipients have annual incomes at or below $20,000.</w:t>
      </w:r>
      <w:r w:rsidR="000C2425" w:rsidRPr="00AE5090">
        <w:rPr>
          <w:rStyle w:val="FootnoteReference"/>
        </w:rPr>
        <w:footnoteReference w:id="49"/>
      </w:r>
      <w:r w:rsidR="00466EC0" w:rsidRPr="00AE5090">
        <w:t xml:space="preserve">  </w:t>
      </w:r>
      <w:r w:rsidRPr="00AE5090">
        <w:t>Meals are e</w:t>
      </w:r>
      <w:r w:rsidR="00466EC0" w:rsidRPr="00AE5090">
        <w:t xml:space="preserve">specially critical for the </w:t>
      </w:r>
      <w:r w:rsidR="00C87372" w:rsidRPr="00AE5090">
        <w:t>60</w:t>
      </w:r>
      <w:r w:rsidR="009626E9" w:rsidRPr="00AE5090">
        <w:t> </w:t>
      </w:r>
      <w:r w:rsidR="006403D4" w:rsidRPr="00AE5090">
        <w:t>percent of ho</w:t>
      </w:r>
      <w:r w:rsidR="00C87372" w:rsidRPr="00AE5090">
        <w:t>me-delivered and 52</w:t>
      </w:r>
      <w:r w:rsidR="006403D4" w:rsidRPr="00AE5090">
        <w:t xml:space="preserve"> </w:t>
      </w:r>
      <w:r w:rsidRPr="00AE5090">
        <w:t xml:space="preserve">percent of </w:t>
      </w:r>
      <w:r w:rsidR="00AF1C7D" w:rsidRPr="00AE5090">
        <w:t xml:space="preserve">congregate </w:t>
      </w:r>
      <w:r w:rsidRPr="00AE5090">
        <w:t>recipients</w:t>
      </w:r>
      <w:r w:rsidRPr="00F1615A">
        <w:t xml:space="preserve"> who report these meals provide half or more of their food intake for the day.</w:t>
      </w:r>
      <w:r w:rsidR="00533D54" w:rsidRPr="00F1615A">
        <w:rPr>
          <w:rStyle w:val="FootnoteReference"/>
        </w:rPr>
        <w:footnoteReference w:id="50"/>
      </w:r>
      <w:r w:rsidRPr="00466EC0">
        <w:t xml:space="preserve"> </w:t>
      </w:r>
    </w:p>
    <w:p w:rsidR="00AC041E" w:rsidRPr="004F1402" w:rsidRDefault="00AC041E" w:rsidP="00AC041E">
      <w:pPr>
        <w:contextualSpacing/>
        <w:jc w:val="both"/>
      </w:pPr>
    </w:p>
    <w:p w:rsidR="00AC041E" w:rsidRDefault="00AC041E" w:rsidP="00AC041E">
      <w:pPr>
        <w:contextualSpacing/>
        <w:jc w:val="both"/>
      </w:pPr>
      <w:r w:rsidRPr="004F1402">
        <w:t xml:space="preserve">Federal support for Nutrition Services is not expected to serve every </w:t>
      </w:r>
      <w:r w:rsidR="008F26CF">
        <w:t>older adult</w:t>
      </w:r>
      <w:r w:rsidRPr="004F1402">
        <w:t xml:space="preserve">. These programs have </w:t>
      </w:r>
      <w:r w:rsidRPr="00FA70B3">
        <w:t xml:space="preserve">strong partnerships with state and local governments, philanthropic organizations and private donations that contribute funding.  In FY </w:t>
      </w:r>
      <w:r w:rsidR="005B5E88" w:rsidRPr="00FA70B3">
        <w:t>2015</w:t>
      </w:r>
      <w:r w:rsidRPr="00FA70B3">
        <w:t>, state and local f</w:t>
      </w:r>
      <w:r w:rsidR="004F1402" w:rsidRPr="00FA70B3">
        <w:t xml:space="preserve">unding comprised </w:t>
      </w:r>
      <w:r w:rsidR="005B5E88" w:rsidRPr="00FA70B3">
        <w:t xml:space="preserve">nearly </w:t>
      </w:r>
      <w:r w:rsidR="007514DB" w:rsidRPr="00FA70B3">
        <w:t>70</w:t>
      </w:r>
      <w:r w:rsidR="009626E9" w:rsidRPr="00FA70B3">
        <w:t> </w:t>
      </w:r>
      <w:r w:rsidRPr="00FA70B3">
        <w:t>percent of all the funding</w:t>
      </w:r>
      <w:r w:rsidR="004F1402" w:rsidRPr="00FA70B3">
        <w:t xml:space="preserve"> for home-delivered meals and</w:t>
      </w:r>
      <w:r w:rsidR="005B5E88" w:rsidRPr="00FA70B3">
        <w:t xml:space="preserve"> nearly</w:t>
      </w:r>
      <w:r w:rsidR="004F1402" w:rsidRPr="00FA70B3">
        <w:t xml:space="preserve"> </w:t>
      </w:r>
      <w:r w:rsidR="005B5E88" w:rsidRPr="00FA70B3">
        <w:t>57</w:t>
      </w:r>
      <w:r w:rsidR="007514DB" w:rsidRPr="00FA70B3">
        <w:t xml:space="preserve"> </w:t>
      </w:r>
      <w:r w:rsidRPr="00FA70B3">
        <w:t>percent for congregate meals.</w:t>
      </w:r>
      <w:r w:rsidR="005B5E88" w:rsidRPr="00FA70B3">
        <w:rPr>
          <w:rStyle w:val="FootnoteReference"/>
        </w:rPr>
        <w:footnoteReference w:id="51"/>
      </w:r>
      <w:r w:rsidRPr="00FA70B3">
        <w:t xml:space="preserve"> Though all programs funded through the OAA rely on state and local funding in some part, funding for congregate and home-delivered meals leverages more state and local financial support than many other OAA services.</w:t>
      </w:r>
    </w:p>
    <w:p w:rsidR="00AC041E" w:rsidRDefault="00AC041E" w:rsidP="00AC041E">
      <w:pPr>
        <w:contextualSpacing/>
        <w:jc w:val="both"/>
      </w:pPr>
    </w:p>
    <w:p w:rsidR="00AC041E" w:rsidRPr="004F1402" w:rsidRDefault="00AC041E" w:rsidP="00AC041E">
      <w:pPr>
        <w:contextualSpacing/>
        <w:jc w:val="both"/>
        <w:rPr>
          <w:i/>
        </w:rPr>
      </w:pPr>
      <w:r w:rsidRPr="004F1402">
        <w:rPr>
          <w:i/>
        </w:rPr>
        <w:t>State and Territory Flexibility</w:t>
      </w:r>
    </w:p>
    <w:p w:rsidR="00AC041E" w:rsidRPr="004F1402" w:rsidRDefault="00AC041E" w:rsidP="00AC041E">
      <w:pPr>
        <w:contextualSpacing/>
        <w:jc w:val="both"/>
      </w:pPr>
      <w:r w:rsidRPr="004F1402">
        <w:t>Under the core state formula grant programs for Home and Community-Based Supportive Services and Nutrition Services, states and territories have the flexibility to allocate resources to best meet local needs through intra-state funding formulas which distribute funds to area agencies on aging (AAA</w:t>
      </w:r>
      <w:r w:rsidR="002D259F">
        <w:t>s</w:t>
      </w:r>
      <w:r w:rsidRPr="004F1402">
        <w:t>). These formulas vary by state and allow states to take into account their own local circumstances to best serve their population. States are required to submit their formulas to AoA for approval and must take into account the geographic distribution of older persons and the distribution of older persons in greatest social and economic need.  AAAs a</w:t>
      </w:r>
      <w:r w:rsidR="00EE6D73">
        <w:t>d</w:t>
      </w:r>
      <w:r w:rsidRPr="004F1402">
        <w:t>minister these grants and provide grants or contracts to local service providers based on identified needs.</w:t>
      </w:r>
    </w:p>
    <w:p w:rsidR="00AC041E" w:rsidRPr="004F1402" w:rsidRDefault="00AC041E" w:rsidP="00AC041E">
      <w:pPr>
        <w:contextualSpacing/>
        <w:jc w:val="both"/>
      </w:pPr>
    </w:p>
    <w:p w:rsidR="00AC041E" w:rsidRPr="004F1402" w:rsidRDefault="00AC041E" w:rsidP="00AC041E">
      <w:pPr>
        <w:contextualSpacing/>
        <w:jc w:val="both"/>
      </w:pPr>
      <w:r w:rsidRPr="004F1402">
        <w:t xml:space="preserve">The OAA allows a state to transfer up to 40 percent of the funds between congregate and home-delivered meals for use as the state considers appropriate to meet the needs of the area served. Additionally, for any fiscal year in which the transferred funds are insufficient to satisfy the need for nutrition services, the </w:t>
      </w:r>
      <w:r w:rsidR="00FD2B2E">
        <w:t>A</w:t>
      </w:r>
      <w:r w:rsidRPr="004F1402">
        <w:t xml:space="preserve">ssistant </w:t>
      </w:r>
      <w:r w:rsidR="00FD2B2E">
        <w:t>S</w:t>
      </w:r>
      <w:r w:rsidRPr="004F1402">
        <w:t xml:space="preserve">ecretary for </w:t>
      </w:r>
      <w:r w:rsidR="00FD2B2E">
        <w:t>A</w:t>
      </w:r>
      <w:r w:rsidRPr="004F1402">
        <w:t>ging may grant a waiver that permits the state to transfer an additional 10 percent of the funds to meet those needs. The OAA provides further flexibility to states by allowing them to transfer up to 30 percent for any fiscal year between Supportive Services programs and Nutrition Services programs, for use as the state considers appropriate. These are options open only to states and territories. A state agency may not delegate to an area agency on aging or any other entity the authority to make such transfers.</w:t>
      </w:r>
    </w:p>
    <w:p w:rsidR="00AC041E" w:rsidRPr="004F1402" w:rsidRDefault="00AC041E" w:rsidP="00B8144E">
      <w:pPr>
        <w:contextualSpacing/>
        <w:jc w:val="both"/>
      </w:pPr>
    </w:p>
    <w:p w:rsidR="006065D1" w:rsidRDefault="006065D1" w:rsidP="006065D1">
      <w:pPr>
        <w:tabs>
          <w:tab w:val="left" w:pos="540"/>
        </w:tabs>
        <w:jc w:val="both"/>
      </w:pPr>
      <w:bookmarkStart w:id="11" w:name="_Toc294712677"/>
      <w:bookmarkStart w:id="12" w:name="_Toc316405568"/>
      <w:bookmarkEnd w:id="8"/>
      <w:bookmarkEnd w:id="9"/>
      <w:r w:rsidRPr="009913EA">
        <w:t>Table 1. FY 201</w:t>
      </w:r>
      <w:r w:rsidR="008E7E35" w:rsidRPr="009913EA">
        <w:t>5</w:t>
      </w:r>
      <w:r w:rsidRPr="009913EA">
        <w:t xml:space="preserve"> Transfer of Federal funds within Title III of the OAA</w:t>
      </w:r>
    </w:p>
    <w:p w:rsidR="009913EA" w:rsidRPr="004F1402" w:rsidRDefault="009913EA" w:rsidP="006065D1">
      <w:pPr>
        <w:tabs>
          <w:tab w:val="left" w:pos="54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638"/>
        <w:gridCol w:w="2160"/>
        <w:gridCol w:w="2340"/>
      </w:tblGrid>
      <w:tr w:rsidR="006065D1" w:rsidRPr="004F1402" w:rsidTr="002E119D">
        <w:tc>
          <w:tcPr>
            <w:tcW w:w="2214" w:type="dxa"/>
            <w:shd w:val="clear" w:color="auto" w:fill="C0C0C0"/>
          </w:tcPr>
          <w:p w:rsidR="006065D1" w:rsidRPr="004F1402" w:rsidRDefault="006065D1" w:rsidP="002E119D">
            <w:pPr>
              <w:jc w:val="both"/>
            </w:pPr>
          </w:p>
        </w:tc>
        <w:tc>
          <w:tcPr>
            <w:tcW w:w="2638" w:type="dxa"/>
            <w:shd w:val="clear" w:color="auto" w:fill="C0C0C0"/>
            <w:vAlign w:val="center"/>
          </w:tcPr>
          <w:p w:rsidR="006065D1" w:rsidRPr="004F1402" w:rsidRDefault="006065D1" w:rsidP="002E119D">
            <w:pPr>
              <w:jc w:val="center"/>
              <w:rPr>
                <w:b/>
                <w:sz w:val="20"/>
              </w:rPr>
            </w:pPr>
            <w:r w:rsidRPr="004F1402">
              <w:rPr>
                <w:b/>
                <w:sz w:val="20"/>
              </w:rPr>
              <w:t>Part B –</w:t>
            </w:r>
          </w:p>
          <w:p w:rsidR="006065D1" w:rsidRPr="004F1402" w:rsidRDefault="006065D1" w:rsidP="002E119D">
            <w:pPr>
              <w:jc w:val="center"/>
              <w:rPr>
                <w:b/>
                <w:sz w:val="20"/>
              </w:rPr>
            </w:pPr>
            <w:r w:rsidRPr="004F1402">
              <w:rPr>
                <w:b/>
                <w:sz w:val="20"/>
              </w:rPr>
              <w:t>Home and Community-Based Supportive Services</w:t>
            </w:r>
          </w:p>
        </w:tc>
        <w:tc>
          <w:tcPr>
            <w:tcW w:w="2160" w:type="dxa"/>
            <w:shd w:val="clear" w:color="auto" w:fill="C0C0C0"/>
            <w:vAlign w:val="center"/>
          </w:tcPr>
          <w:p w:rsidR="006065D1" w:rsidRPr="004F1402" w:rsidRDefault="006065D1" w:rsidP="002E119D">
            <w:pPr>
              <w:jc w:val="center"/>
              <w:rPr>
                <w:b/>
                <w:sz w:val="20"/>
              </w:rPr>
            </w:pPr>
            <w:r w:rsidRPr="004F1402">
              <w:rPr>
                <w:b/>
                <w:sz w:val="20"/>
              </w:rPr>
              <w:t>Part C1 –</w:t>
            </w:r>
          </w:p>
          <w:p w:rsidR="006065D1" w:rsidRPr="004F1402" w:rsidRDefault="006065D1" w:rsidP="002E119D">
            <w:pPr>
              <w:jc w:val="center"/>
              <w:rPr>
                <w:b/>
                <w:sz w:val="20"/>
              </w:rPr>
            </w:pPr>
            <w:r w:rsidRPr="004F1402">
              <w:rPr>
                <w:b/>
                <w:sz w:val="20"/>
              </w:rPr>
              <w:t>Congregate Nutrition</w:t>
            </w:r>
          </w:p>
        </w:tc>
        <w:tc>
          <w:tcPr>
            <w:tcW w:w="2340" w:type="dxa"/>
            <w:shd w:val="clear" w:color="auto" w:fill="C0C0C0"/>
            <w:vAlign w:val="center"/>
          </w:tcPr>
          <w:p w:rsidR="006065D1" w:rsidRPr="004F1402" w:rsidRDefault="006065D1" w:rsidP="002E119D">
            <w:pPr>
              <w:jc w:val="center"/>
              <w:rPr>
                <w:b/>
                <w:sz w:val="20"/>
              </w:rPr>
            </w:pPr>
            <w:r w:rsidRPr="004F1402">
              <w:rPr>
                <w:b/>
                <w:sz w:val="20"/>
              </w:rPr>
              <w:t>Part C2 –</w:t>
            </w:r>
          </w:p>
          <w:p w:rsidR="006065D1" w:rsidRPr="004F1402" w:rsidRDefault="006065D1" w:rsidP="002E119D">
            <w:pPr>
              <w:jc w:val="center"/>
              <w:rPr>
                <w:b/>
                <w:sz w:val="20"/>
              </w:rPr>
            </w:pPr>
            <w:r w:rsidRPr="004F1402">
              <w:rPr>
                <w:b/>
                <w:sz w:val="20"/>
              </w:rPr>
              <w:t>Home-Delivered Meals</w:t>
            </w:r>
          </w:p>
        </w:tc>
      </w:tr>
      <w:tr w:rsidR="004A19FF" w:rsidRPr="004F1402" w:rsidTr="002E119D">
        <w:trPr>
          <w:trHeight w:val="432"/>
        </w:trPr>
        <w:tc>
          <w:tcPr>
            <w:tcW w:w="2214" w:type="dxa"/>
            <w:vAlign w:val="center"/>
          </w:tcPr>
          <w:p w:rsidR="004A19FF" w:rsidRPr="004F1402" w:rsidRDefault="004A19FF" w:rsidP="002E119D">
            <w:pPr>
              <w:rPr>
                <w:sz w:val="20"/>
              </w:rPr>
            </w:pPr>
            <w:r w:rsidRPr="004F1402">
              <w:rPr>
                <w:sz w:val="20"/>
              </w:rPr>
              <w:t>Initial Allotment</w:t>
            </w:r>
          </w:p>
        </w:tc>
        <w:tc>
          <w:tcPr>
            <w:tcW w:w="2638" w:type="dxa"/>
            <w:vAlign w:val="center"/>
          </w:tcPr>
          <w:p w:rsidR="004A19FF" w:rsidRPr="004F1402" w:rsidRDefault="00FA4B31" w:rsidP="009913EA">
            <w:pPr>
              <w:jc w:val="center"/>
              <w:rPr>
                <w:sz w:val="20"/>
              </w:rPr>
            </w:pPr>
            <w:r w:rsidRPr="00FA4B31">
              <w:rPr>
                <w:sz w:val="20"/>
              </w:rPr>
              <w:t>$345,6</w:t>
            </w:r>
            <w:r w:rsidR="009913EA">
              <w:rPr>
                <w:sz w:val="20"/>
              </w:rPr>
              <w:t>66,022</w:t>
            </w:r>
          </w:p>
        </w:tc>
        <w:tc>
          <w:tcPr>
            <w:tcW w:w="2160" w:type="dxa"/>
            <w:vAlign w:val="center"/>
          </w:tcPr>
          <w:p w:rsidR="004A19FF" w:rsidRPr="004F1402" w:rsidRDefault="00FA4B31" w:rsidP="009913EA">
            <w:pPr>
              <w:jc w:val="center"/>
              <w:rPr>
                <w:sz w:val="20"/>
              </w:rPr>
            </w:pPr>
            <w:r w:rsidRPr="00FA4B31">
              <w:rPr>
                <w:sz w:val="20"/>
              </w:rPr>
              <w:t>$435,</w:t>
            </w:r>
            <w:r w:rsidR="009913EA">
              <w:rPr>
                <w:sz w:val="20"/>
              </w:rPr>
              <w:t>597</w:t>
            </w:r>
            <w:r w:rsidRPr="00FA4B31">
              <w:rPr>
                <w:sz w:val="20"/>
              </w:rPr>
              <w:t>,</w:t>
            </w:r>
            <w:r w:rsidR="009913EA">
              <w:rPr>
                <w:sz w:val="20"/>
              </w:rPr>
              <w:t>598</w:t>
            </w:r>
          </w:p>
        </w:tc>
        <w:tc>
          <w:tcPr>
            <w:tcW w:w="2340" w:type="dxa"/>
            <w:vAlign w:val="center"/>
          </w:tcPr>
          <w:p w:rsidR="004A19FF" w:rsidRPr="004F1402" w:rsidRDefault="00FA4B31" w:rsidP="009913EA">
            <w:pPr>
              <w:jc w:val="center"/>
              <w:rPr>
                <w:sz w:val="20"/>
              </w:rPr>
            </w:pPr>
            <w:r w:rsidRPr="00FA4B31">
              <w:rPr>
                <w:sz w:val="20"/>
              </w:rPr>
              <w:t>$215,1</w:t>
            </w:r>
            <w:r w:rsidR="009913EA">
              <w:rPr>
                <w:sz w:val="20"/>
              </w:rPr>
              <w:t>16</w:t>
            </w:r>
            <w:r w:rsidRPr="00FA4B31">
              <w:rPr>
                <w:sz w:val="20"/>
              </w:rPr>
              <w:t>,</w:t>
            </w:r>
            <w:r w:rsidR="009913EA">
              <w:rPr>
                <w:sz w:val="20"/>
              </w:rPr>
              <w:t>2</w:t>
            </w:r>
            <w:r w:rsidRPr="00FA4B31">
              <w:rPr>
                <w:sz w:val="20"/>
              </w:rPr>
              <w:t>72</w:t>
            </w:r>
          </w:p>
        </w:tc>
      </w:tr>
      <w:tr w:rsidR="004A19FF" w:rsidRPr="004F1402" w:rsidTr="002E119D">
        <w:trPr>
          <w:cantSplit/>
          <w:trHeight w:val="504"/>
        </w:trPr>
        <w:tc>
          <w:tcPr>
            <w:tcW w:w="2214" w:type="dxa"/>
            <w:vAlign w:val="center"/>
          </w:tcPr>
          <w:p w:rsidR="004A19FF" w:rsidRPr="004F1402" w:rsidRDefault="004A19FF" w:rsidP="002E119D">
            <w:pPr>
              <w:rPr>
                <w:sz w:val="20"/>
              </w:rPr>
            </w:pPr>
            <w:r w:rsidRPr="004F1402">
              <w:rPr>
                <w:sz w:val="20"/>
              </w:rPr>
              <w:lastRenderedPageBreak/>
              <w:t>Final Allotment after Transfers</w:t>
            </w:r>
          </w:p>
        </w:tc>
        <w:tc>
          <w:tcPr>
            <w:tcW w:w="2638" w:type="dxa"/>
            <w:vAlign w:val="center"/>
          </w:tcPr>
          <w:p w:rsidR="004A19FF" w:rsidRPr="004F1402" w:rsidRDefault="00FA4B31" w:rsidP="009913EA">
            <w:pPr>
              <w:jc w:val="center"/>
              <w:rPr>
                <w:sz w:val="20"/>
              </w:rPr>
            </w:pPr>
            <w:r w:rsidRPr="00FA4B31">
              <w:rPr>
                <w:sz w:val="20"/>
              </w:rPr>
              <w:t>$</w:t>
            </w:r>
            <w:r w:rsidR="009913EA">
              <w:rPr>
                <w:sz w:val="20"/>
              </w:rPr>
              <w:t>403</w:t>
            </w:r>
            <w:r w:rsidRPr="00FA4B31">
              <w:rPr>
                <w:sz w:val="20"/>
              </w:rPr>
              <w:t>,</w:t>
            </w:r>
            <w:r w:rsidR="009913EA">
              <w:rPr>
                <w:sz w:val="20"/>
              </w:rPr>
              <w:t>613,829</w:t>
            </w:r>
          </w:p>
        </w:tc>
        <w:tc>
          <w:tcPr>
            <w:tcW w:w="2160" w:type="dxa"/>
            <w:vAlign w:val="center"/>
          </w:tcPr>
          <w:p w:rsidR="004A19FF" w:rsidRPr="004F1402" w:rsidRDefault="00FA4B31" w:rsidP="009913EA">
            <w:pPr>
              <w:jc w:val="center"/>
              <w:rPr>
                <w:sz w:val="20"/>
              </w:rPr>
            </w:pPr>
            <w:r w:rsidRPr="00FA4B31">
              <w:rPr>
                <w:sz w:val="20"/>
              </w:rPr>
              <w:t>$3</w:t>
            </w:r>
            <w:r w:rsidR="009913EA">
              <w:rPr>
                <w:sz w:val="20"/>
              </w:rPr>
              <w:t>3</w:t>
            </w:r>
            <w:r w:rsidRPr="00FA4B31">
              <w:rPr>
                <w:sz w:val="20"/>
              </w:rPr>
              <w:t>8,</w:t>
            </w:r>
            <w:r w:rsidR="009913EA">
              <w:rPr>
                <w:sz w:val="20"/>
              </w:rPr>
              <w:t>177</w:t>
            </w:r>
            <w:r w:rsidRPr="00FA4B31">
              <w:rPr>
                <w:sz w:val="20"/>
              </w:rPr>
              <w:t>,</w:t>
            </w:r>
            <w:r w:rsidR="009913EA">
              <w:rPr>
                <w:sz w:val="20"/>
              </w:rPr>
              <w:t>768</w:t>
            </w:r>
          </w:p>
        </w:tc>
        <w:tc>
          <w:tcPr>
            <w:tcW w:w="2340" w:type="dxa"/>
            <w:vAlign w:val="center"/>
          </w:tcPr>
          <w:p w:rsidR="004A19FF" w:rsidRPr="004F1402" w:rsidRDefault="00FA4B31" w:rsidP="009913EA">
            <w:pPr>
              <w:jc w:val="center"/>
              <w:rPr>
                <w:sz w:val="20"/>
              </w:rPr>
            </w:pPr>
            <w:r w:rsidRPr="00FA4B31">
              <w:rPr>
                <w:sz w:val="20"/>
              </w:rPr>
              <w:t>$2</w:t>
            </w:r>
            <w:r w:rsidR="009913EA">
              <w:rPr>
                <w:sz w:val="20"/>
              </w:rPr>
              <w:t>5</w:t>
            </w:r>
            <w:r w:rsidRPr="00FA4B31">
              <w:rPr>
                <w:sz w:val="20"/>
              </w:rPr>
              <w:t>4,</w:t>
            </w:r>
            <w:r w:rsidR="009913EA">
              <w:rPr>
                <w:sz w:val="20"/>
              </w:rPr>
              <w:t>588</w:t>
            </w:r>
            <w:r w:rsidRPr="00FA4B31">
              <w:rPr>
                <w:sz w:val="20"/>
              </w:rPr>
              <w:t>,</w:t>
            </w:r>
            <w:r w:rsidR="009913EA">
              <w:rPr>
                <w:sz w:val="20"/>
              </w:rPr>
              <w:t>295</w:t>
            </w:r>
          </w:p>
        </w:tc>
      </w:tr>
      <w:tr w:rsidR="004A19FF" w:rsidRPr="004F1402" w:rsidTr="002E119D">
        <w:trPr>
          <w:cantSplit/>
          <w:trHeight w:val="432"/>
        </w:trPr>
        <w:tc>
          <w:tcPr>
            <w:tcW w:w="2214" w:type="dxa"/>
            <w:vAlign w:val="center"/>
          </w:tcPr>
          <w:p w:rsidR="004A19FF" w:rsidRPr="004F1402" w:rsidRDefault="004A19FF" w:rsidP="002E119D">
            <w:pPr>
              <w:rPr>
                <w:sz w:val="20"/>
              </w:rPr>
            </w:pPr>
            <w:r w:rsidRPr="004F1402">
              <w:rPr>
                <w:sz w:val="20"/>
              </w:rPr>
              <w:t>Net Transfer</w:t>
            </w:r>
          </w:p>
        </w:tc>
        <w:tc>
          <w:tcPr>
            <w:tcW w:w="2638" w:type="dxa"/>
            <w:vAlign w:val="center"/>
          </w:tcPr>
          <w:p w:rsidR="004A19FF" w:rsidRPr="004F1402" w:rsidRDefault="00FA4B31" w:rsidP="009913EA">
            <w:pPr>
              <w:jc w:val="center"/>
              <w:rPr>
                <w:sz w:val="20"/>
              </w:rPr>
            </w:pPr>
            <w:r w:rsidRPr="00FA4B31">
              <w:rPr>
                <w:sz w:val="20"/>
              </w:rPr>
              <w:t>$</w:t>
            </w:r>
            <w:r w:rsidR="009913EA">
              <w:rPr>
                <w:sz w:val="20"/>
              </w:rPr>
              <w:t>57</w:t>
            </w:r>
            <w:r w:rsidRPr="00FA4B31">
              <w:rPr>
                <w:sz w:val="20"/>
              </w:rPr>
              <w:t>,</w:t>
            </w:r>
            <w:r w:rsidR="009913EA">
              <w:rPr>
                <w:sz w:val="20"/>
              </w:rPr>
              <w:t>947</w:t>
            </w:r>
            <w:r w:rsidRPr="00FA4B31">
              <w:rPr>
                <w:sz w:val="20"/>
              </w:rPr>
              <w:t>,8</w:t>
            </w:r>
            <w:r w:rsidR="009913EA">
              <w:rPr>
                <w:sz w:val="20"/>
              </w:rPr>
              <w:t>07</w:t>
            </w:r>
          </w:p>
        </w:tc>
        <w:tc>
          <w:tcPr>
            <w:tcW w:w="2160" w:type="dxa"/>
            <w:vAlign w:val="center"/>
          </w:tcPr>
          <w:p w:rsidR="004A19FF" w:rsidRPr="004F1402" w:rsidRDefault="004A19FF" w:rsidP="009913EA">
            <w:pPr>
              <w:rPr>
                <w:sz w:val="20"/>
              </w:rPr>
            </w:pPr>
            <w:r w:rsidRPr="004F1402">
              <w:rPr>
                <w:sz w:val="20"/>
              </w:rPr>
              <w:t xml:space="preserve">       </w:t>
            </w:r>
            <w:r w:rsidR="00FA4B31" w:rsidRPr="00FA4B31">
              <w:rPr>
                <w:sz w:val="20"/>
              </w:rPr>
              <w:t>(</w:t>
            </w:r>
            <w:r w:rsidR="00FA4B31">
              <w:rPr>
                <w:sz w:val="20"/>
              </w:rPr>
              <w:t>-</w:t>
            </w:r>
            <w:r w:rsidR="00FA4B31" w:rsidRPr="00FA4B31">
              <w:rPr>
                <w:sz w:val="20"/>
              </w:rPr>
              <w:t>$</w:t>
            </w:r>
            <w:r w:rsidR="009913EA">
              <w:rPr>
                <w:sz w:val="20"/>
              </w:rPr>
              <w:t>97</w:t>
            </w:r>
            <w:r w:rsidR="00FA4B31" w:rsidRPr="00FA4B31">
              <w:rPr>
                <w:sz w:val="20"/>
              </w:rPr>
              <w:t>,</w:t>
            </w:r>
            <w:r w:rsidR="009913EA">
              <w:rPr>
                <w:sz w:val="20"/>
              </w:rPr>
              <w:t>41</w:t>
            </w:r>
            <w:r w:rsidR="00FA4B31" w:rsidRPr="00FA4B31">
              <w:rPr>
                <w:sz w:val="20"/>
              </w:rPr>
              <w:t>9</w:t>
            </w:r>
            <w:r w:rsidR="009913EA">
              <w:rPr>
                <w:sz w:val="20"/>
              </w:rPr>
              <w:t>,830</w:t>
            </w:r>
            <w:r w:rsidR="00FA4B31" w:rsidRPr="00FA4B31">
              <w:rPr>
                <w:sz w:val="20"/>
              </w:rPr>
              <w:t>)</w:t>
            </w:r>
          </w:p>
        </w:tc>
        <w:tc>
          <w:tcPr>
            <w:tcW w:w="2340" w:type="dxa"/>
            <w:vAlign w:val="center"/>
          </w:tcPr>
          <w:p w:rsidR="004A19FF" w:rsidRPr="004F1402" w:rsidRDefault="00FA4B31" w:rsidP="0013428D">
            <w:pPr>
              <w:jc w:val="center"/>
              <w:rPr>
                <w:sz w:val="20"/>
              </w:rPr>
            </w:pPr>
            <w:r w:rsidRPr="00FA4B31">
              <w:rPr>
                <w:sz w:val="20"/>
              </w:rPr>
              <w:t>$3</w:t>
            </w:r>
            <w:r w:rsidR="0013428D">
              <w:rPr>
                <w:sz w:val="20"/>
              </w:rPr>
              <w:t>9</w:t>
            </w:r>
            <w:r w:rsidRPr="00FA4B31">
              <w:rPr>
                <w:sz w:val="20"/>
              </w:rPr>
              <w:t>,</w:t>
            </w:r>
            <w:r w:rsidR="0013428D">
              <w:rPr>
                <w:sz w:val="20"/>
              </w:rPr>
              <w:t>472</w:t>
            </w:r>
            <w:r w:rsidRPr="00FA4B31">
              <w:rPr>
                <w:sz w:val="20"/>
              </w:rPr>
              <w:t>,</w:t>
            </w:r>
            <w:r w:rsidR="0013428D">
              <w:rPr>
                <w:sz w:val="20"/>
              </w:rPr>
              <w:t>023</w:t>
            </w:r>
          </w:p>
        </w:tc>
      </w:tr>
      <w:tr w:rsidR="004A19FF" w:rsidRPr="004F1402" w:rsidTr="002E119D">
        <w:trPr>
          <w:cantSplit/>
          <w:trHeight w:val="432"/>
        </w:trPr>
        <w:tc>
          <w:tcPr>
            <w:tcW w:w="2214" w:type="dxa"/>
            <w:vAlign w:val="center"/>
          </w:tcPr>
          <w:p w:rsidR="004A19FF" w:rsidRPr="004F1402" w:rsidRDefault="004A19FF" w:rsidP="002E119D">
            <w:pPr>
              <w:rPr>
                <w:sz w:val="20"/>
              </w:rPr>
            </w:pPr>
            <w:r w:rsidRPr="004F1402">
              <w:rPr>
                <w:sz w:val="20"/>
              </w:rPr>
              <w:t>Net Percent Change</w:t>
            </w:r>
          </w:p>
        </w:tc>
        <w:tc>
          <w:tcPr>
            <w:tcW w:w="2638" w:type="dxa"/>
            <w:vAlign w:val="center"/>
          </w:tcPr>
          <w:p w:rsidR="004A19FF" w:rsidRPr="004F1402" w:rsidRDefault="009913EA" w:rsidP="009913EA">
            <w:pPr>
              <w:jc w:val="center"/>
              <w:rPr>
                <w:sz w:val="20"/>
              </w:rPr>
            </w:pPr>
            <w:r>
              <w:rPr>
                <w:sz w:val="20"/>
              </w:rPr>
              <w:t>16</w:t>
            </w:r>
            <w:r w:rsidR="00FA4B31" w:rsidRPr="00FA4B31">
              <w:rPr>
                <w:sz w:val="20"/>
              </w:rPr>
              <w:t>.7</w:t>
            </w:r>
            <w:r>
              <w:rPr>
                <w:sz w:val="20"/>
              </w:rPr>
              <w:t>6</w:t>
            </w:r>
          </w:p>
        </w:tc>
        <w:tc>
          <w:tcPr>
            <w:tcW w:w="2160" w:type="dxa"/>
            <w:vAlign w:val="center"/>
          </w:tcPr>
          <w:p w:rsidR="004A19FF" w:rsidRPr="004F1402" w:rsidRDefault="00FA4B31" w:rsidP="009913EA">
            <w:pPr>
              <w:jc w:val="center"/>
              <w:rPr>
                <w:sz w:val="20"/>
              </w:rPr>
            </w:pPr>
            <w:r w:rsidRPr="00FA4B31">
              <w:rPr>
                <w:sz w:val="20"/>
              </w:rPr>
              <w:t>(</w:t>
            </w:r>
            <w:r>
              <w:rPr>
                <w:sz w:val="20"/>
              </w:rPr>
              <w:t>-</w:t>
            </w:r>
            <w:r w:rsidR="009913EA">
              <w:rPr>
                <w:sz w:val="20"/>
              </w:rPr>
              <w:t>22</w:t>
            </w:r>
            <w:r w:rsidRPr="00FA4B31">
              <w:rPr>
                <w:sz w:val="20"/>
              </w:rPr>
              <w:t>.</w:t>
            </w:r>
            <w:r w:rsidR="009913EA">
              <w:rPr>
                <w:sz w:val="20"/>
              </w:rPr>
              <w:t>36</w:t>
            </w:r>
            <w:r w:rsidRPr="00FA4B31">
              <w:rPr>
                <w:sz w:val="20"/>
              </w:rPr>
              <w:t>)</w:t>
            </w:r>
          </w:p>
        </w:tc>
        <w:tc>
          <w:tcPr>
            <w:tcW w:w="2340" w:type="dxa"/>
            <w:vAlign w:val="center"/>
          </w:tcPr>
          <w:p w:rsidR="004A19FF" w:rsidRPr="004F1402" w:rsidRDefault="00FA4B31" w:rsidP="0013428D">
            <w:pPr>
              <w:jc w:val="center"/>
              <w:rPr>
                <w:sz w:val="20"/>
              </w:rPr>
            </w:pPr>
            <w:r w:rsidRPr="00FA4B31">
              <w:rPr>
                <w:sz w:val="20"/>
              </w:rPr>
              <w:t>1</w:t>
            </w:r>
            <w:r w:rsidR="0013428D">
              <w:rPr>
                <w:sz w:val="20"/>
              </w:rPr>
              <w:t>8</w:t>
            </w:r>
            <w:r w:rsidRPr="00FA4B31">
              <w:rPr>
                <w:sz w:val="20"/>
              </w:rPr>
              <w:t>.3</w:t>
            </w:r>
            <w:r w:rsidR="0013428D">
              <w:rPr>
                <w:sz w:val="20"/>
              </w:rPr>
              <w:t>5</w:t>
            </w:r>
          </w:p>
        </w:tc>
      </w:tr>
    </w:tbl>
    <w:p w:rsidR="002A79C5" w:rsidRPr="004F1402" w:rsidRDefault="002A79C5" w:rsidP="002A79C5">
      <w:pPr>
        <w:sectPr w:rsidR="002A79C5" w:rsidRPr="004F1402" w:rsidSect="00E264D2">
          <w:footerReference w:type="default" r:id="rId11"/>
          <w:footerReference w:type="first" r:id="rId12"/>
          <w:pgSz w:w="12240" w:h="15840"/>
          <w:pgMar w:top="1152" w:right="1440" w:bottom="1152" w:left="1440" w:header="720" w:footer="720" w:gutter="0"/>
          <w:pgNumType w:start="0"/>
          <w:cols w:space="720"/>
          <w:titlePg/>
          <w:docGrid w:linePitch="360"/>
        </w:sectPr>
      </w:pPr>
      <w:bookmarkStart w:id="13" w:name="_Toc294712678"/>
      <w:bookmarkStart w:id="14" w:name="_Toc316405569"/>
      <w:bookmarkEnd w:id="11"/>
      <w:bookmarkEnd w:id="12"/>
    </w:p>
    <w:p w:rsidR="00DF0A1A" w:rsidRDefault="00DF0A1A" w:rsidP="00EB7718">
      <w:pPr>
        <w:pStyle w:val="Heading2"/>
      </w:pPr>
      <w:bookmarkStart w:id="15" w:name="_Toc436738872"/>
    </w:p>
    <w:p w:rsidR="00E873E7" w:rsidRPr="0004723E" w:rsidRDefault="00E873E7" w:rsidP="00EB7718">
      <w:pPr>
        <w:pStyle w:val="Heading2"/>
      </w:pPr>
      <w:r w:rsidRPr="00EE2A50">
        <w:t>Preventive Health Services</w:t>
      </w:r>
      <w:bookmarkEnd w:id="13"/>
      <w:bookmarkEnd w:id="14"/>
      <w:bookmarkEnd w:id="15"/>
    </w:p>
    <w:p w:rsidR="00690788" w:rsidRPr="00AD5B58" w:rsidRDefault="002A79C5" w:rsidP="002A79C5">
      <w:pPr>
        <w:contextualSpacing/>
        <w:jc w:val="center"/>
        <w:rPr>
          <w:b/>
          <w:i/>
        </w:rPr>
      </w:pPr>
      <w:r w:rsidRPr="00AD5B58">
        <w:rPr>
          <w:b/>
          <w:i/>
        </w:rPr>
        <w:t>(Title III-D of OAA; FY 201</w:t>
      </w:r>
      <w:r w:rsidR="00190D79">
        <w:rPr>
          <w:b/>
          <w:i/>
        </w:rPr>
        <w:t>5</w:t>
      </w:r>
      <w:r w:rsidRPr="00AD5B58">
        <w:rPr>
          <w:b/>
          <w:i/>
        </w:rPr>
        <w:t>: $</w:t>
      </w:r>
      <w:r w:rsidR="00AD5B58" w:rsidRPr="00AD5B58">
        <w:rPr>
          <w:b/>
          <w:i/>
        </w:rPr>
        <w:t>19</w:t>
      </w:r>
      <w:r w:rsidR="00D95BF6" w:rsidRPr="00AD5B58">
        <w:rPr>
          <w:b/>
          <w:i/>
        </w:rPr>
        <w:t>,</w:t>
      </w:r>
      <w:r w:rsidR="00AD5B58" w:rsidRPr="00AD5B58">
        <w:rPr>
          <w:b/>
          <w:i/>
        </w:rPr>
        <w:t>84</w:t>
      </w:r>
      <w:r w:rsidR="00190D79">
        <w:rPr>
          <w:b/>
          <w:i/>
        </w:rPr>
        <w:t>8</w:t>
      </w:r>
      <w:r w:rsidR="00D95BF6" w:rsidRPr="00AD5B58">
        <w:rPr>
          <w:b/>
          <w:i/>
        </w:rPr>
        <w:t>,000</w:t>
      </w:r>
      <w:r w:rsidRPr="00AD5B58">
        <w:rPr>
          <w:b/>
          <w:i/>
        </w:rPr>
        <w:t>)</w:t>
      </w:r>
    </w:p>
    <w:p w:rsidR="00E873E7" w:rsidRPr="0004723E" w:rsidRDefault="00E873E7" w:rsidP="00144D47">
      <w:pPr>
        <w:contextualSpacing/>
        <w:jc w:val="both"/>
      </w:pPr>
    </w:p>
    <w:p w:rsidR="000A0E4E" w:rsidRDefault="000A0E4E" w:rsidP="000A0E4E">
      <w:pPr>
        <w:contextualSpacing/>
        <w:jc w:val="both"/>
      </w:pPr>
      <w:r>
        <w:t>Preventive Health Services, established in 1987, provide formula grants to states and territories based on their share of the population age 60 and over to support evidence-based disease prevention and health promotion programs. Older Americans are disproportionately affected by chronic disease</w:t>
      </w:r>
      <w:r w:rsidR="00A317B1">
        <w:t xml:space="preserve"> and unintentional injury</w:t>
      </w:r>
      <w:r w:rsidR="007F1293">
        <w:t xml:space="preserve">. </w:t>
      </w:r>
      <w:r w:rsidR="00A317B1">
        <w:t>There are many e</w:t>
      </w:r>
      <w:r>
        <w:t xml:space="preserve">vidence-based </w:t>
      </w:r>
      <w:r w:rsidR="00A317B1">
        <w:t xml:space="preserve">health promotion </w:t>
      </w:r>
      <w:r>
        <w:t xml:space="preserve">programs </w:t>
      </w:r>
      <w:r w:rsidR="00A317B1">
        <w:t>that have been shown to be effective in reducing illness and injury, and improving older adult health</w:t>
      </w:r>
      <w:r>
        <w:t xml:space="preserve">.  Preventive Health Services provide states and territories with the flexibility to allocate resources among the preventive health programs of their choice to best meet local needs. Priority has been given to providing services to those elders living in medically underserved areas of the state or who have the greatest economic need.  </w:t>
      </w:r>
    </w:p>
    <w:p w:rsidR="000A0E4E" w:rsidRDefault="000A0E4E" w:rsidP="000A0E4E">
      <w:pPr>
        <w:contextualSpacing/>
        <w:jc w:val="both"/>
      </w:pPr>
    </w:p>
    <w:p w:rsidR="000A0E4E" w:rsidRPr="00BC76C1" w:rsidRDefault="000A0E4E" w:rsidP="000A0E4E">
      <w:pPr>
        <w:contextualSpacing/>
        <w:jc w:val="both"/>
      </w:pPr>
      <w:r w:rsidRPr="00FA70B3">
        <w:t>Due in large part to advances in public health and medical care, Americans are leading longer and more active lives. Average life expectancy has increased from less than 50 years at the turn of the 20th century to over 78 years today</w:t>
      </w:r>
      <w:r w:rsidR="00F816E3" w:rsidRPr="00FA70B3">
        <w:t>.</w:t>
      </w:r>
      <w:r w:rsidR="00BB0D78" w:rsidRPr="00FA70B3">
        <w:rPr>
          <w:rStyle w:val="FootnoteReference"/>
        </w:rPr>
        <w:footnoteReference w:id="52"/>
      </w:r>
      <w:r w:rsidRPr="00FA70B3">
        <w:t xml:space="preserve">  On average</w:t>
      </w:r>
      <w:r w:rsidR="007F1293" w:rsidRPr="00FA70B3">
        <w:t>,</w:t>
      </w:r>
      <w:r w:rsidRPr="00FA70B3">
        <w:t xml:space="preserve"> an</w:t>
      </w:r>
      <w:r w:rsidR="00726C1B" w:rsidRPr="00FA70B3">
        <w:t xml:space="preserve"> American turning age 65 in 2014</w:t>
      </w:r>
      <w:r w:rsidRPr="00FA70B3">
        <w:t xml:space="preserve"> can expect to live an additional </w:t>
      </w:r>
      <w:r w:rsidR="007C3129" w:rsidRPr="00FA70B3">
        <w:t>19.3</w:t>
      </w:r>
      <w:r w:rsidRPr="00FA70B3">
        <w:t xml:space="preserve"> years.</w:t>
      </w:r>
      <w:r w:rsidRPr="00FA70B3">
        <w:rPr>
          <w:rStyle w:val="FootnoteReference"/>
        </w:rPr>
        <w:footnoteReference w:id="53"/>
      </w:r>
      <w:r w:rsidRPr="00FA70B3">
        <w:t xml:space="preserve">  The population of older Americans</w:t>
      </w:r>
      <w:r w:rsidR="00A317B1" w:rsidRPr="00FA70B3">
        <w:t xml:space="preserve"> </w:t>
      </w:r>
      <w:r w:rsidR="00BC76C1" w:rsidRPr="00FA70B3">
        <w:t>is growing very rapidly</w:t>
      </w:r>
      <w:r w:rsidRPr="00FA70B3">
        <w:t xml:space="preserve"> and is projected to reach</w:t>
      </w:r>
      <w:r w:rsidR="008129BA" w:rsidRPr="00FA70B3">
        <w:t xml:space="preserve"> 74.1</w:t>
      </w:r>
      <w:r w:rsidRPr="00FA70B3">
        <w:t xml:space="preserve"> million by the year 2030.</w:t>
      </w:r>
      <w:r w:rsidR="00EA0879" w:rsidRPr="00FA70B3">
        <w:rPr>
          <w:rStyle w:val="FootnoteReference"/>
        </w:rPr>
        <w:footnoteReference w:id="54"/>
      </w:r>
      <w:r w:rsidRPr="00FA70B3">
        <w:t xml:space="preserve"> One consequence of this increased longevity is the higher incidence of chronic diseases such as obesity, arthritis, diabetes, osteoporosis, and depression</w:t>
      </w:r>
      <w:r w:rsidR="00734B4E" w:rsidRPr="00FA70B3">
        <w:t xml:space="preserve">. </w:t>
      </w:r>
      <w:r w:rsidR="00C03452">
        <w:t xml:space="preserve"> A</w:t>
      </w:r>
      <w:r w:rsidR="00230E90" w:rsidRPr="00FA70B3">
        <w:t>s the population ages</w:t>
      </w:r>
      <w:r w:rsidR="00C03452">
        <w:t>, the</w:t>
      </w:r>
      <w:r w:rsidR="00734B4E">
        <w:t xml:space="preserve"> number of falls</w:t>
      </w:r>
      <w:r w:rsidR="00C03452">
        <w:t xml:space="preserve"> and falls-related injuries grows</w:t>
      </w:r>
      <w:r w:rsidR="00734B4E">
        <w:t>,</w:t>
      </w:r>
      <w:r w:rsidR="00C03452">
        <w:t xml:space="preserve"> resulting in increased</w:t>
      </w:r>
      <w:r w:rsidR="00734B4E">
        <w:t xml:space="preserve"> hospitalizations and deaths.</w:t>
      </w:r>
      <w:r w:rsidRPr="00BC76C1">
        <w:t xml:space="preserve">  </w:t>
      </w:r>
    </w:p>
    <w:p w:rsidR="000A0E4E" w:rsidRPr="00BC76C1" w:rsidRDefault="000A0E4E" w:rsidP="000A0E4E">
      <w:pPr>
        <w:contextualSpacing/>
        <w:jc w:val="both"/>
      </w:pPr>
    </w:p>
    <w:p w:rsidR="00F36715" w:rsidRDefault="000A0E4E" w:rsidP="00F36715">
      <w:pPr>
        <w:contextualSpacing/>
        <w:jc w:val="both"/>
      </w:pPr>
      <w:r w:rsidRPr="00BC76C1">
        <w:t xml:space="preserve">Evidence-based programs empower older adults to take control of their health by </w:t>
      </w:r>
      <w:r w:rsidR="00734B4E">
        <w:t>increasing knowledge, changing behavior, and improving self-efficacy and self-management techniques.</w:t>
      </w:r>
      <w:r w:rsidRPr="00BC76C1">
        <w:t xml:space="preserve"> </w:t>
      </w:r>
      <w:r w:rsidR="00734B4E">
        <w:t>They</w:t>
      </w:r>
      <w:r w:rsidR="00E873E7" w:rsidRPr="0004723E">
        <w:t xml:space="preserve"> are </w:t>
      </w:r>
      <w:r w:rsidR="00455B39">
        <w:t xml:space="preserve">established activities, inputs, and resources for implementing health </w:t>
      </w:r>
      <w:r w:rsidR="00E873E7" w:rsidRPr="0004723E">
        <w:t xml:space="preserve">interventions that have been tested </w:t>
      </w:r>
      <w:r w:rsidR="00734B4E">
        <w:t>in a controlled trial setting</w:t>
      </w:r>
      <w:r w:rsidR="00E873E7" w:rsidRPr="0004723E">
        <w:t xml:space="preserve"> and have been shown to be effective at </w:t>
      </w:r>
      <w:r w:rsidR="00455B39">
        <w:t>improving health and/or reducing disease, illness, or injury.</w:t>
      </w:r>
      <w:r w:rsidR="00E873E7">
        <w:t xml:space="preserve"> </w:t>
      </w:r>
      <w:r w:rsidR="00E873E7" w:rsidRPr="0004723E">
        <w:t>Some examples are:</w:t>
      </w:r>
    </w:p>
    <w:p w:rsidR="00F36715" w:rsidRDefault="00F36715" w:rsidP="00F36715">
      <w:pPr>
        <w:contextualSpacing/>
        <w:jc w:val="both"/>
      </w:pPr>
    </w:p>
    <w:p w:rsidR="00EC7382" w:rsidRDefault="00197212" w:rsidP="00DF0A1A">
      <w:pPr>
        <w:pStyle w:val="ListParagraph"/>
        <w:numPr>
          <w:ilvl w:val="0"/>
          <w:numId w:val="24"/>
        </w:numPr>
        <w:jc w:val="both"/>
      </w:pPr>
      <w:r w:rsidRPr="00DF0A1A">
        <w:rPr>
          <w:i/>
        </w:rPr>
        <w:t>Physical activity</w:t>
      </w:r>
      <w:r w:rsidR="00734B4E">
        <w:t>: Maintaining (or increasing) physical activity is a necessary component for staying health</w:t>
      </w:r>
      <w:r w:rsidR="00594F26">
        <w:t>y</w:t>
      </w:r>
      <w:r w:rsidR="00DF0A1A">
        <w:t>.  T</w:t>
      </w:r>
      <w:r w:rsidR="00734B4E">
        <w:t xml:space="preserve">here are a number of evidence-based </w:t>
      </w:r>
      <w:r w:rsidR="00D735C2">
        <w:t>programs</w:t>
      </w:r>
      <w:r w:rsidR="00734B4E">
        <w:t xml:space="preserve"> focused on empowering older adults to stay or become active. </w:t>
      </w:r>
      <w:r w:rsidRPr="00197212">
        <w:t xml:space="preserve"> </w:t>
      </w:r>
      <w:r w:rsidRPr="00DF0A1A">
        <w:rPr>
          <w:i/>
        </w:rPr>
        <w:t>EnhanceFitness</w:t>
      </w:r>
      <w:r w:rsidRPr="00197212">
        <w:t xml:space="preserve"> is a multi-component group exercise program</w:t>
      </w:r>
      <w:r w:rsidR="00594F26">
        <w:t xml:space="preserve"> that</w:t>
      </w:r>
      <w:r w:rsidR="00734B4E">
        <w:t xml:space="preserve"> uses s</w:t>
      </w:r>
      <w:r w:rsidRPr="00197212">
        <w:t>trength training</w:t>
      </w:r>
      <w:r w:rsidR="00734B4E">
        <w:t>,</w:t>
      </w:r>
      <w:r w:rsidRPr="00197212">
        <w:t xml:space="preserve"> cardiovascular workout</w:t>
      </w:r>
      <w:r w:rsidR="00734B4E">
        <w:t>s,</w:t>
      </w:r>
      <w:r w:rsidRPr="00197212">
        <w:t xml:space="preserve"> and balance and posture exercises</w:t>
      </w:r>
      <w:r w:rsidR="00734B4E">
        <w:t xml:space="preserve">, and has been shown to </w:t>
      </w:r>
      <w:r w:rsidR="001F74BC">
        <w:t>significantly reduce hospitalization</w:t>
      </w:r>
      <w:r w:rsidR="00594F26">
        <w:t>s</w:t>
      </w:r>
      <w:r w:rsidR="001F74BC">
        <w:t xml:space="preserve"> and healthcare costs for participants.</w:t>
      </w:r>
      <w:r w:rsidR="001F74BC">
        <w:rPr>
          <w:rStyle w:val="FootnoteReference"/>
        </w:rPr>
        <w:footnoteReference w:id="55"/>
      </w:r>
      <w:r w:rsidRPr="00197212">
        <w:t xml:space="preserve">   </w:t>
      </w:r>
    </w:p>
    <w:p w:rsidR="00DF0A1A" w:rsidRDefault="00DF0A1A" w:rsidP="00DF0A1A">
      <w:pPr>
        <w:keepNext/>
        <w:keepLines/>
        <w:pBdr>
          <w:top w:val="single" w:sz="6" w:space="0" w:color="FFFFFF"/>
          <w:left w:val="single" w:sz="6" w:space="1" w:color="FFFFFF"/>
          <w:bottom w:val="single" w:sz="6" w:space="0" w:color="FFFFFF"/>
          <w:right w:val="single" w:sz="6" w:space="0" w:color="FFFFFF"/>
        </w:pBdr>
        <w:jc w:val="both"/>
        <w:rPr>
          <w:i/>
        </w:rPr>
      </w:pPr>
    </w:p>
    <w:p w:rsidR="00DF0A1A" w:rsidRDefault="00DF0A1A" w:rsidP="00DF0A1A">
      <w:pPr>
        <w:pStyle w:val="ListParagraph"/>
        <w:keepNext/>
        <w:keepLines/>
        <w:numPr>
          <w:ilvl w:val="0"/>
          <w:numId w:val="24"/>
        </w:numPr>
        <w:pBdr>
          <w:top w:val="single" w:sz="6" w:space="0" w:color="FFFFFF"/>
          <w:left w:val="single" w:sz="6" w:space="1" w:color="FFFFFF"/>
          <w:bottom w:val="single" w:sz="6" w:space="0" w:color="FFFFFF"/>
          <w:right w:val="single" w:sz="6" w:space="0" w:color="FFFFFF"/>
        </w:pBdr>
        <w:jc w:val="both"/>
      </w:pPr>
      <w:r w:rsidRPr="00DF0A1A">
        <w:rPr>
          <w:i/>
        </w:rPr>
        <w:t>Falls prevention</w:t>
      </w:r>
      <w:r w:rsidRPr="00197212">
        <w:t xml:space="preserve">: Falls prevention programs help </w:t>
      </w:r>
      <w:r>
        <w:t xml:space="preserve">older adult </w:t>
      </w:r>
      <w:r w:rsidRPr="00197212">
        <w:t>participants</w:t>
      </w:r>
      <w:r>
        <w:t xml:space="preserve"> </w:t>
      </w:r>
      <w:r w:rsidRPr="00197212">
        <w:t xml:space="preserve">improve strength, balance, and mobility; provide education on how to avoid falls and reduce fall risk factors; </w:t>
      </w:r>
      <w:r>
        <w:t xml:space="preserve">and some </w:t>
      </w:r>
      <w:r w:rsidRPr="00197212">
        <w:t xml:space="preserve">involve medication reviews and provide home assessments of ways to reduce environmental hazards.  </w:t>
      </w:r>
    </w:p>
    <w:p w:rsidR="00EC7382" w:rsidRPr="00D95BF6" w:rsidRDefault="00EC7382" w:rsidP="00EC7382">
      <w:pPr>
        <w:keepNext/>
        <w:keepLines/>
        <w:pBdr>
          <w:top w:val="single" w:sz="6" w:space="0" w:color="FFFFFF"/>
          <w:left w:val="single" w:sz="6" w:space="0" w:color="FFFFFF"/>
          <w:bottom w:val="single" w:sz="6" w:space="0" w:color="FFFFFF"/>
          <w:right w:val="single" w:sz="6" w:space="0" w:color="FFFFFF"/>
        </w:pBdr>
        <w:jc w:val="both"/>
      </w:pPr>
    </w:p>
    <w:p w:rsidR="00DD114B" w:rsidRDefault="00E873E7" w:rsidP="00DF0A1A">
      <w:pPr>
        <w:pStyle w:val="ListParagraph"/>
        <w:keepNext/>
        <w:keepLines/>
        <w:numPr>
          <w:ilvl w:val="0"/>
          <w:numId w:val="24"/>
        </w:numPr>
        <w:pBdr>
          <w:top w:val="single" w:sz="6" w:space="0" w:color="FFFFFF"/>
          <w:left w:val="single" w:sz="6" w:space="0" w:color="FFFFFF"/>
          <w:bottom w:val="single" w:sz="6" w:space="0" w:color="FFFFFF"/>
          <w:right w:val="single" w:sz="6" w:space="0" w:color="FFFFFF"/>
        </w:pBdr>
        <w:jc w:val="both"/>
      </w:pPr>
      <w:r w:rsidRPr="00D95BF6">
        <w:rPr>
          <w:i/>
        </w:rPr>
        <w:t>Medication</w:t>
      </w:r>
      <w:r w:rsidRPr="008F5998">
        <w:rPr>
          <w:i/>
        </w:rPr>
        <w:t xml:space="preserve"> management:</w:t>
      </w:r>
      <w:r w:rsidRPr="00A40272">
        <w:t xml:space="preserve"> Medication management programs focus on reviewing the multitude of medications that older adults are prescribed, focusing especially on high-risk medications. Medication management programs have been shown to reduce unnecessary duplication of prescriptions and cardiovascular problems.</w:t>
      </w:r>
      <w:r w:rsidR="00495E30">
        <w:rPr>
          <w:rStyle w:val="FootnoteReference"/>
        </w:rPr>
        <w:footnoteReference w:id="56"/>
      </w:r>
      <w:r w:rsidRPr="00A40272">
        <w:t xml:space="preserve"> These programs have also been shown to improve medication usage rates and decrease medication errors among older adults.</w:t>
      </w:r>
      <w:r w:rsidR="00773AAA">
        <w:rPr>
          <w:rStyle w:val="FootnoteReference"/>
        </w:rPr>
        <w:footnoteReference w:id="57"/>
      </w:r>
    </w:p>
    <w:p w:rsidR="008F5998" w:rsidRPr="008F5998" w:rsidRDefault="008F5998" w:rsidP="008F5998">
      <w:pPr>
        <w:pStyle w:val="ListParagraph"/>
        <w:ind w:left="0"/>
      </w:pPr>
    </w:p>
    <w:p w:rsidR="002E119D" w:rsidRPr="00D95BF6" w:rsidRDefault="002E119D" w:rsidP="001033AE">
      <w:pPr>
        <w:pStyle w:val="ListParagraph"/>
        <w:numPr>
          <w:ilvl w:val="0"/>
          <w:numId w:val="24"/>
        </w:numPr>
        <w:jc w:val="both"/>
      </w:pPr>
      <w:r w:rsidRPr="00D95BF6">
        <w:rPr>
          <w:i/>
          <w:iCs/>
        </w:rPr>
        <w:t>Depression Care Management:</w:t>
      </w:r>
      <w:r w:rsidRPr="00D95BF6">
        <w:t xml:space="preserve">  Depression is not a normal part of aging, yet it is a prevalent and disabling conditio</w:t>
      </w:r>
      <w:r w:rsidR="00907A1E">
        <w:t>n among older adults.  </w:t>
      </w:r>
      <w:r w:rsidR="00C03452">
        <w:t>C</w:t>
      </w:r>
      <w:r w:rsidR="00A97F35">
        <w:t>laims data (2014)</w:t>
      </w:r>
      <w:r w:rsidR="00C03452">
        <w:t xml:space="preserve">  reported</w:t>
      </w:r>
      <w:r w:rsidR="00A97F35">
        <w:t xml:space="preserve"> by the Centers for Medicare &amp; Medicaid Services (CMS) re</w:t>
      </w:r>
      <w:r w:rsidR="00C03452">
        <w:t>veal</w:t>
      </w:r>
      <w:r w:rsidR="00A97F35">
        <w:t xml:space="preserve"> that 13.6 </w:t>
      </w:r>
      <w:r w:rsidR="00DB1FC6" w:rsidRPr="00D95BF6">
        <w:t>percent</w:t>
      </w:r>
      <w:r w:rsidRPr="00D95BF6">
        <w:t xml:space="preserve"> of Medicare beneficiaries age 65 and older </w:t>
      </w:r>
      <w:r w:rsidR="00A97F35">
        <w:t>ha</w:t>
      </w:r>
      <w:r w:rsidR="00C03452">
        <w:t>ve</w:t>
      </w:r>
      <w:r w:rsidR="00A97F35">
        <w:t xml:space="preserve"> a depression diagnosis.</w:t>
      </w:r>
      <w:r w:rsidR="008F5998" w:rsidRPr="00D95BF6">
        <w:rPr>
          <w:rStyle w:val="FootnoteReference"/>
        </w:rPr>
        <w:footnoteReference w:id="58"/>
      </w:r>
      <w:r w:rsidRPr="00D95BF6">
        <w:rPr>
          <w:vertAlign w:val="superscript"/>
        </w:rPr>
        <w:t xml:space="preserve">  </w:t>
      </w:r>
      <w:r w:rsidR="00A97F35">
        <w:t>Depression in older adults has been associated with high direct medical costs (i.e., hospitalizations), as well as significant indirect costs (i.e., unpaid caregiving).</w:t>
      </w:r>
      <w:r w:rsidR="00A97F35">
        <w:rPr>
          <w:rStyle w:val="FootnoteReference"/>
        </w:rPr>
        <w:footnoteReference w:id="59"/>
      </w:r>
      <w:r w:rsidR="00A97F35" w:rsidRPr="00D95BF6">
        <w:t xml:space="preserve"> </w:t>
      </w:r>
      <w:r w:rsidRPr="00D95BF6">
        <w:t xml:space="preserve">Cost-effective, evidence-based interventions, such as the Program to Encourage Rewarding Lives </w:t>
      </w:r>
      <w:r w:rsidR="00F92871">
        <w:t>f</w:t>
      </w:r>
      <w:r w:rsidRPr="00D95BF6">
        <w:t xml:space="preserve">or Seniors (PEARLS), </w:t>
      </w:r>
      <w:r w:rsidR="00B11832">
        <w:t>developed in CDC’s Prevention Research Centers</w:t>
      </w:r>
      <w:r w:rsidR="00B11832" w:rsidRPr="00D95BF6">
        <w:t xml:space="preserve">, </w:t>
      </w:r>
      <w:r w:rsidRPr="00D95BF6">
        <w:t>have been shown to reduce depressive symptoms and improve quality of life in older adults.</w:t>
      </w:r>
      <w:r w:rsidR="008F5998" w:rsidRPr="00D95BF6">
        <w:rPr>
          <w:rStyle w:val="FootnoteReference"/>
        </w:rPr>
        <w:footnoteReference w:id="60"/>
      </w:r>
    </w:p>
    <w:p w:rsidR="00B11832" w:rsidRDefault="00B11832" w:rsidP="003B25D9">
      <w:bookmarkStart w:id="16" w:name="_Toc303606069"/>
      <w:bookmarkStart w:id="17" w:name="_Toc316405570"/>
      <w:bookmarkStart w:id="18" w:name="_Toc316405589"/>
    </w:p>
    <w:p w:rsidR="00EC7382" w:rsidRDefault="00EC7382" w:rsidP="00EC7382">
      <w:pPr>
        <w:jc w:val="both"/>
      </w:pPr>
      <w:r w:rsidRPr="00EC7382">
        <w:t>Starting in 2012 and continuing every year since, ACL’s appropriation</w:t>
      </w:r>
      <w:r w:rsidR="00594F26">
        <w:t>s</w:t>
      </w:r>
      <w:r w:rsidRPr="00EC7382">
        <w:t xml:space="preserve"> language specifies that funds from OAA Title III-D can be used “only for disease prevention and health promotion programs and activities which have been demonstrated through rigorous evaluation to be evidence-based and effective.”  Even before this evidence-based requirement, states had already begun to shift their Preventive Health Services funding towards evidence-based approaches to achieve better results </w:t>
      </w:r>
      <w:r>
        <w:t>wi</w:t>
      </w:r>
      <w:r w:rsidRPr="00EC7382">
        <w:t>th limited funding. Since 2012, all Preventive Health Services funding has been used for evidence-based programs.  States can continue funding other health services, such as</w:t>
      </w:r>
      <w:r>
        <w:t xml:space="preserve"> </w:t>
      </w:r>
      <w:r w:rsidRPr="00EC7382">
        <w:t>blood pressure screenings,</w:t>
      </w:r>
      <w:r>
        <w:t xml:space="preserve"> usin</w:t>
      </w:r>
      <w:r w:rsidRPr="00EC7382">
        <w:t>g OAA</w:t>
      </w:r>
      <w:r>
        <w:t xml:space="preserve"> </w:t>
      </w:r>
      <w:r w:rsidRPr="00EC7382">
        <w:t>funding for supportive services (Title III-B).</w:t>
      </w:r>
    </w:p>
    <w:p w:rsidR="00DF0A1A" w:rsidRDefault="00DF0A1A">
      <w:pPr>
        <w:rPr>
          <w:b/>
          <w:bCs/>
          <w:iCs/>
          <w:lang w:bidi="en-US"/>
        </w:rPr>
      </w:pPr>
      <w:bookmarkStart w:id="19" w:name="_Toc436738873"/>
      <w:r>
        <w:rPr>
          <w:b/>
          <w:bCs/>
          <w:iCs/>
          <w:lang w:bidi="en-US"/>
        </w:rPr>
        <w:br w:type="page"/>
      </w:r>
    </w:p>
    <w:p w:rsidR="00EB7718" w:rsidRPr="00EB7718" w:rsidRDefault="00EB7718" w:rsidP="00EB7718">
      <w:pPr>
        <w:keepNext/>
        <w:jc w:val="center"/>
        <w:outlineLvl w:val="1"/>
        <w:rPr>
          <w:b/>
          <w:bCs/>
          <w:iCs/>
          <w:sz w:val="28"/>
          <w:szCs w:val="28"/>
          <w:lang w:bidi="en-US"/>
        </w:rPr>
      </w:pPr>
      <w:r w:rsidRPr="00EB7718">
        <w:rPr>
          <w:b/>
          <w:bCs/>
          <w:iCs/>
          <w:sz w:val="28"/>
          <w:szCs w:val="28"/>
          <w:lang w:bidi="en-US"/>
        </w:rPr>
        <w:lastRenderedPageBreak/>
        <w:t>Chronic Disease Self-Management Education Programs</w:t>
      </w:r>
    </w:p>
    <w:p w:rsidR="00EB7718" w:rsidRPr="00EB7718" w:rsidRDefault="00EB7718" w:rsidP="00EB7718">
      <w:pPr>
        <w:jc w:val="center"/>
        <w:rPr>
          <w:b/>
        </w:rPr>
      </w:pPr>
      <w:r w:rsidRPr="00EB7718">
        <w:rPr>
          <w:b/>
        </w:rPr>
        <w:t>(FY 2015: $8,000,000)</w:t>
      </w:r>
    </w:p>
    <w:p w:rsidR="00EB7718" w:rsidRPr="00EB7718" w:rsidRDefault="00EB7718" w:rsidP="00EB7718">
      <w:pPr>
        <w:contextualSpacing/>
        <w:jc w:val="both"/>
      </w:pPr>
    </w:p>
    <w:p w:rsidR="00EB7718" w:rsidRPr="00EB7718" w:rsidRDefault="00EB7718" w:rsidP="00EB7718">
      <w:pPr>
        <w:jc w:val="both"/>
      </w:pPr>
      <w:r w:rsidRPr="00EB7718">
        <w:t>In the United States, nearly 70 percent of Medicare beneficiaries have two or more</w:t>
      </w:r>
      <w:r w:rsidR="00B44EB0">
        <w:t xml:space="preserve"> chronic conditions</w:t>
      </w:r>
      <w:r w:rsidRPr="00EB7718">
        <w:t>.</w:t>
      </w:r>
      <w:r w:rsidRPr="00EB7718">
        <w:rPr>
          <w:vertAlign w:val="superscript"/>
        </w:rPr>
        <w:footnoteReference w:id="61"/>
      </w:r>
      <w:r w:rsidRPr="00EB7718">
        <w:t xml:space="preserve"> This burden places older adults at greater risk for premature death, poor functional status, unnecessary hospitalizations, adverse drug events, and nursing home placement.</w:t>
      </w:r>
      <w:r w:rsidRPr="00EB7718">
        <w:rPr>
          <w:vertAlign w:val="superscript"/>
        </w:rPr>
        <w:footnoteReference w:id="62"/>
      </w:r>
      <w:r w:rsidRPr="00EB7718">
        <w:rPr>
          <w:vertAlign w:val="superscript"/>
        </w:rPr>
        <w:t>,</w:t>
      </w:r>
      <w:r w:rsidRPr="00EB7718">
        <w:rPr>
          <w:vertAlign w:val="superscript"/>
        </w:rPr>
        <w:footnoteReference w:id="63"/>
      </w:r>
      <w:r w:rsidRPr="00EB7718">
        <w:rPr>
          <w:vertAlign w:val="superscript"/>
        </w:rPr>
        <w:t xml:space="preserve"> </w:t>
      </w:r>
      <w:r w:rsidRPr="00EB7718">
        <w:t>Chronic conditions also impact health care costs: 95 percent of health care costs for older Americans can be attributed to chronic diseases.</w:t>
      </w:r>
      <w:r w:rsidRPr="00EB7718">
        <w:rPr>
          <w:vertAlign w:val="superscript"/>
        </w:rPr>
        <w:footnoteReference w:id="64"/>
      </w:r>
    </w:p>
    <w:p w:rsidR="00EB7718" w:rsidRPr="00EB7718" w:rsidRDefault="00EB7718" w:rsidP="00EB7718">
      <w:pPr>
        <w:jc w:val="both"/>
      </w:pPr>
    </w:p>
    <w:p w:rsidR="00EB7718" w:rsidRPr="00EB7718" w:rsidRDefault="00EB7718" w:rsidP="00EB7718">
      <w:pPr>
        <w:jc w:val="both"/>
      </w:pPr>
      <w:r w:rsidRPr="00EB7718">
        <w:t>Chronic Disease Self-Management Education (CDSME) programs, such as the Stanford University Chronic Disease Self-Management Program (CDSMP), are low-cost, evidence-based disease prevention models that use proven techniques, allowing peer leaders to help individuals with chronic disease address issues related to the management and treatment of their condition, improve their health status, and potentially reduce their need for more costly medical care.</w:t>
      </w:r>
      <w:r w:rsidRPr="00EB7718">
        <w:rPr>
          <w:vertAlign w:val="superscript"/>
        </w:rPr>
        <w:footnoteReference w:id="65"/>
      </w:r>
      <w:r w:rsidRPr="00EB7718">
        <w:t xml:space="preserve"> In addition to the CDSMP, which is appropriate for any type of chronic condition, there are other proven CDSME programs, including Tomando Control de su Salud (Spanish CDSMP), the Diabetes Self-Management Program (DSMP), Programa de Manejo Personal de la Diabetes (Spanish DSMP), Chronic Pain Self-Management Program, Positive Self-Management Program for HIV, and online versions of many programs</w:t>
      </w:r>
      <w:r w:rsidR="00492E76">
        <w:t>,</w:t>
      </w:r>
      <w:r w:rsidRPr="00EB7718">
        <w:t xml:space="preserve"> as well.</w:t>
      </w:r>
    </w:p>
    <w:p w:rsidR="00EB7718" w:rsidRPr="00EB7718" w:rsidRDefault="00EB7718" w:rsidP="00EB7718">
      <w:pPr>
        <w:contextualSpacing/>
        <w:jc w:val="both"/>
      </w:pPr>
    </w:p>
    <w:p w:rsidR="00EB7718" w:rsidRPr="00EB7718" w:rsidRDefault="00EB7718" w:rsidP="00EB7718">
      <w:pPr>
        <w:contextualSpacing/>
        <w:jc w:val="both"/>
      </w:pPr>
      <w:r w:rsidRPr="00EB7718">
        <w:t>CDSME programs have been shown repeatedly, through multiple studies (including randomized control trials with both English and Spanish speaking populations) to be effective at helping participants adopt healthy behaviors and improve their psychological and physical health status.</w:t>
      </w:r>
      <w:r w:rsidRPr="00EB7718">
        <w:rPr>
          <w:vertAlign w:val="superscript"/>
        </w:rPr>
        <w:footnoteReference w:id="66"/>
      </w:r>
      <w:r w:rsidRPr="00EB7718">
        <w:t xml:space="preserve"> A 2013 national study with over 1,100 CDSMP participants in 17 states documented many significant improvements relevant to CMS’s goals to promote better care, healthier communities, and wiser spending of health care dollars. Participants demonstrated improved communication with physicians, medication compliance, health literacy, self-reported health, less depression, and better quality of life, as well as reduced emergency room visits and hospitalizations and an estimated $360 per person net savings. The research team projected a national savings of $3.3 billion if CDSMP workshops were delivered to 5 percent of adults with multiple chronic conditions.</w:t>
      </w:r>
      <w:r w:rsidRPr="00EB7718">
        <w:rPr>
          <w:vertAlign w:val="superscript"/>
        </w:rPr>
        <w:footnoteReference w:id="67"/>
      </w:r>
    </w:p>
    <w:p w:rsidR="00EB7718" w:rsidRPr="00EB7718" w:rsidRDefault="00EB7718" w:rsidP="00EB7718">
      <w:pPr>
        <w:contextualSpacing/>
        <w:jc w:val="both"/>
      </w:pPr>
    </w:p>
    <w:p w:rsidR="00EB7718" w:rsidRPr="00EB7718" w:rsidRDefault="00EB7718" w:rsidP="00EB7718">
      <w:pPr>
        <w:contextualSpacing/>
        <w:jc w:val="both"/>
      </w:pPr>
      <w:r w:rsidRPr="00EB7718">
        <w:t>CDSMEs emphasize an individual’s role in managing his/her chronic condition(s).  For example, the Stanford CDSMP in-person programs consist of a series of sessions that are conducted once a week for two and a half hours over six weeks in community settings such as</w:t>
      </w:r>
      <w:r w:rsidR="00DF0A1A">
        <w:t xml:space="preserve"> </w:t>
      </w:r>
      <w:r w:rsidRPr="00EB7718">
        <w:t>senior centers, faith-</w:t>
      </w:r>
      <w:r w:rsidRPr="00EB7718">
        <w:lastRenderedPageBreak/>
        <w:t xml:space="preserve">based organizations, health care organizations, libraries, residential facilities, and tribal centers. CDSME workshops are facilitated by two trained leaders, and people with varying chronic conditions participate together. One or both of the leaders are non-health professionals who also have a chronic condition. </w:t>
      </w:r>
      <w:r w:rsidR="00492E76">
        <w:t>Workshop t</w:t>
      </w:r>
      <w:r w:rsidRPr="00EB7718">
        <w:t xml:space="preserve">opics include: 1) techniques to deal with problems such as </w:t>
      </w:r>
      <w:r w:rsidR="00492E76">
        <w:t xml:space="preserve">frustration, </w:t>
      </w:r>
      <w:r w:rsidRPr="00EB7718">
        <w:t xml:space="preserve">fatigue, pain, and isolation; 2) appropriate exercise for maintaining and improving strength, flexibility, and endurance; 3) appropriate use of medications; 4) communicating effectively with health professionals and family/friends; and 5) nutrition.   </w:t>
      </w:r>
    </w:p>
    <w:p w:rsidR="00EB7718" w:rsidRPr="00EB7718" w:rsidRDefault="00EB7718" w:rsidP="00EB7718">
      <w:pPr>
        <w:contextualSpacing/>
        <w:jc w:val="both"/>
      </w:pPr>
    </w:p>
    <w:p w:rsidR="00EB7718" w:rsidRPr="00EB7718" w:rsidRDefault="00EB7718" w:rsidP="00EB7718">
      <w:pPr>
        <w:contextualSpacing/>
        <w:jc w:val="both"/>
      </w:pPr>
      <w:r w:rsidRPr="00EB7718">
        <w:t>AoA funds CDSME through competitive grants awarded to domestic public or private nonprofit entities. External experts review project proposals</w:t>
      </w:r>
      <w:r w:rsidR="00492E76">
        <w:t xml:space="preserve">.  </w:t>
      </w:r>
      <w:r w:rsidRPr="00EB7718">
        <w:t xml:space="preserve">AoA awarded 22 grants for a three-year period spanning September 1, 2012 through August 31, 2015, as well as </w:t>
      </w:r>
      <w:r w:rsidR="00492E76">
        <w:t>eight</w:t>
      </w:r>
      <w:r w:rsidRPr="00EB7718">
        <w:t xml:space="preserve"> grants for a two-year forward funded project period beginning September 1, 2015. A thorough annual assessment of grantees funded through the Prevention and Public Health Fund (PPHF) from 2012-2015 tracked progress toward sustainable and integrated service systems, highlighting elements such as leadership, delivery infrastructure, business planning and financial sustainability, and centralized and coordinated logistical processes.</w:t>
      </w:r>
      <w:r w:rsidRPr="00EB7718">
        <w:rPr>
          <w:vertAlign w:val="superscript"/>
        </w:rPr>
        <w:footnoteReference w:id="68"/>
      </w:r>
      <w:r w:rsidRPr="00EB7718">
        <w:t xml:space="preserve"> During the grant cycle, nine different CDSME programs were offered. Over the three-year period, there were significant gains in key elements of delivery infrastructure, with most grantees reporting an adequate pool of program facilitators and statewide delivery capacity. Key partners in CDSME delivery included area agencies on aging, federally qualified health centers, hospitals, health care systems, health insurers, and organizations serving ethnic minorities. Additionally, 65 percent of grantees reported to a large or moderate extent that they have an effective business plan and process in place to fund CDSME after the grant period. Areas that rated the strongest and showed the greatest gains were partnerships with health care organizations, calculated operating costs, an established per participant cost, and a statewide distribution system. </w:t>
      </w:r>
    </w:p>
    <w:p w:rsidR="00EB7718" w:rsidRPr="00EB7718" w:rsidRDefault="00EB7718" w:rsidP="00EB7718">
      <w:pPr>
        <w:contextualSpacing/>
        <w:jc w:val="both"/>
      </w:pPr>
    </w:p>
    <w:p w:rsidR="00EB7718" w:rsidRPr="00EB7718" w:rsidRDefault="00EB7718" w:rsidP="00EB7718">
      <w:pPr>
        <w:contextualSpacing/>
        <w:jc w:val="both"/>
      </w:pPr>
      <w:r w:rsidRPr="00EB7718">
        <w:t>By September 30, 2015, grantees had reached a cumulative total of over 140,000 participants.  During FY 2015, there were 51,680 participants and 37,702 “completers” (i.e., who attended at least four out of six classes, a retention rate of 73 percent). Grantees were successful in reaching their targeted underserved populations: of those participants reporting relevant data, 67 percent were age 60 or older, 58 percent reported having multiple chronic conditions, 45 percent reported a disability, and 48 percent were racial/ethnic minorities.</w:t>
      </w:r>
      <w:r w:rsidRPr="00EB7718">
        <w:rPr>
          <w:vertAlign w:val="superscript"/>
        </w:rPr>
        <w:footnoteReference w:id="69"/>
      </w:r>
    </w:p>
    <w:p w:rsidR="00EB7718" w:rsidRPr="00EB7718" w:rsidRDefault="00EB7718" w:rsidP="00EB7718">
      <w:pPr>
        <w:contextualSpacing/>
        <w:jc w:val="both"/>
      </w:pPr>
    </w:p>
    <w:p w:rsidR="00EB7718" w:rsidRPr="00EB7718" w:rsidRDefault="00EB7718" w:rsidP="00EB7718">
      <w:pPr>
        <w:contextualSpacing/>
        <w:jc w:val="both"/>
      </w:pPr>
      <w:r w:rsidRPr="00EB7718">
        <w:t xml:space="preserve">Through financing from the FY 2015 PPHF, AoA also funded a National Resource Center to assist states, the aging, disability and public health networks, and their partners to increase access to and sustain evidence-based prevention programs, particularly CDSME programs which improve the health and quality of life of older adults and adults with disabilities. The Center also serves as a national clearinghouse of tools and information on CDSME. </w:t>
      </w:r>
    </w:p>
    <w:p w:rsidR="00EB7718" w:rsidRPr="00EB7718" w:rsidRDefault="00EB7718" w:rsidP="00EB7718">
      <w:pPr>
        <w:contextualSpacing/>
        <w:jc w:val="both"/>
      </w:pPr>
    </w:p>
    <w:p w:rsidR="001837D4" w:rsidRDefault="001837D4" w:rsidP="00EB7718">
      <w:pPr>
        <w:pStyle w:val="Heading2"/>
      </w:pPr>
      <w:bookmarkStart w:id="20" w:name="_Toc436738874"/>
      <w:bookmarkEnd w:id="19"/>
      <w:r w:rsidRPr="00813B40">
        <w:t>Behavioral Health</w:t>
      </w:r>
    </w:p>
    <w:p w:rsidR="001837D4" w:rsidRDefault="001837D4" w:rsidP="001837D4">
      <w:pPr>
        <w:autoSpaceDE w:val="0"/>
        <w:autoSpaceDN w:val="0"/>
        <w:adjustRightInd w:val="0"/>
        <w:jc w:val="both"/>
        <w:rPr>
          <w:color w:val="000000"/>
        </w:rPr>
      </w:pPr>
    </w:p>
    <w:p w:rsidR="001837D4" w:rsidRPr="00331FF0" w:rsidRDefault="00B601D3" w:rsidP="001837D4">
      <w:pPr>
        <w:autoSpaceDE w:val="0"/>
        <w:autoSpaceDN w:val="0"/>
        <w:adjustRightInd w:val="0"/>
        <w:jc w:val="both"/>
        <w:rPr>
          <w:color w:val="000000"/>
        </w:rPr>
      </w:pPr>
      <w:r>
        <w:rPr>
          <w:color w:val="000000"/>
        </w:rPr>
        <w:t>B</w:t>
      </w:r>
      <w:r w:rsidR="001837D4" w:rsidRPr="00331FF0">
        <w:rPr>
          <w:color w:val="000000"/>
        </w:rPr>
        <w:t xml:space="preserve">ehavioral health is essential to overall health. </w:t>
      </w:r>
      <w:r>
        <w:rPr>
          <w:color w:val="000000"/>
        </w:rPr>
        <w:t>B</w:t>
      </w:r>
      <w:r w:rsidR="001837D4" w:rsidRPr="00331FF0">
        <w:rPr>
          <w:color w:val="000000"/>
        </w:rPr>
        <w:t xml:space="preserve">ehavioral health issues, such as depression, anxiety, substance misuse, and suicidal thoughts or actions, are not a normal part of aging – yet </w:t>
      </w:r>
      <w:r w:rsidR="001837D4" w:rsidRPr="00331FF0">
        <w:rPr>
          <w:color w:val="000000"/>
        </w:rPr>
        <w:lastRenderedPageBreak/>
        <w:t xml:space="preserve">one in four persons aged 55 and over have experienced a </w:t>
      </w:r>
      <w:r w:rsidR="0075003B">
        <w:rPr>
          <w:color w:val="000000"/>
        </w:rPr>
        <w:t>men</w:t>
      </w:r>
      <w:r w:rsidR="00526576">
        <w:rPr>
          <w:color w:val="000000"/>
        </w:rPr>
        <w:t>tal</w:t>
      </w:r>
      <w:r w:rsidR="00492E76">
        <w:rPr>
          <w:color w:val="000000"/>
        </w:rPr>
        <w:t xml:space="preserve"> </w:t>
      </w:r>
      <w:r w:rsidR="001837D4" w:rsidRPr="00331FF0">
        <w:rPr>
          <w:color w:val="000000"/>
        </w:rPr>
        <w:t>disorder.</w:t>
      </w:r>
      <w:r w:rsidR="001837D4">
        <w:rPr>
          <w:rStyle w:val="FootnoteReference"/>
          <w:color w:val="000000"/>
        </w:rPr>
        <w:footnoteReference w:id="70"/>
      </w:r>
      <w:r w:rsidR="001837D4">
        <w:rPr>
          <w:color w:val="000000"/>
        </w:rPr>
        <w:t xml:space="preserve"> </w:t>
      </w:r>
      <w:r w:rsidR="001837D4" w:rsidRPr="00331FF0">
        <w:rPr>
          <w:color w:val="000000"/>
        </w:rPr>
        <w:t>Behavioral health issues can greatly impact the independence, health, and well-being of older adults and their family caregivers. Untreated behavioral health disorders can exacerbate health conditions, decrease life expectancy, and</w:t>
      </w:r>
      <w:r w:rsidR="001837D4">
        <w:rPr>
          <w:color w:val="000000"/>
        </w:rPr>
        <w:t xml:space="preserve"> </w:t>
      </w:r>
      <w:r w:rsidR="001837D4" w:rsidRPr="00331FF0">
        <w:rPr>
          <w:color w:val="000000"/>
        </w:rPr>
        <w:t>increase overall healthcare costs.</w:t>
      </w:r>
      <w:r w:rsidR="001837D4">
        <w:rPr>
          <w:rStyle w:val="FootnoteReference"/>
          <w:color w:val="000000"/>
        </w:rPr>
        <w:footnoteReference w:id="71"/>
      </w:r>
      <w:r w:rsidR="001837D4" w:rsidRPr="00331FF0">
        <w:rPr>
          <w:color w:val="000000"/>
        </w:rPr>
        <w:t xml:space="preserve"> Distinctive barriers to the treatment of behavioral health disorders among the older adult population exist, such as discrimination, under-diagnosis, and inappropriate treatment.</w:t>
      </w:r>
    </w:p>
    <w:p w:rsidR="001837D4" w:rsidRPr="00331FF0" w:rsidRDefault="001837D4" w:rsidP="001837D4">
      <w:pPr>
        <w:autoSpaceDE w:val="0"/>
        <w:autoSpaceDN w:val="0"/>
        <w:adjustRightInd w:val="0"/>
        <w:jc w:val="both"/>
        <w:rPr>
          <w:color w:val="000000"/>
        </w:rPr>
      </w:pPr>
    </w:p>
    <w:p w:rsidR="001837D4" w:rsidRPr="00331FF0" w:rsidRDefault="001837D4" w:rsidP="001837D4">
      <w:pPr>
        <w:autoSpaceDE w:val="0"/>
        <w:autoSpaceDN w:val="0"/>
        <w:adjustRightInd w:val="0"/>
        <w:jc w:val="both"/>
        <w:rPr>
          <w:color w:val="000000"/>
        </w:rPr>
      </w:pPr>
      <w:r w:rsidRPr="00331FF0">
        <w:rPr>
          <w:color w:val="000000"/>
        </w:rPr>
        <w:t xml:space="preserve">The good news is that prevention, brief intervention, self-directed treatment, and recovery from behavioral health disorders are possible for individuals of all ages, including older adults. While the 2006 reauthorization of the OAA included new provisions focused on the prevention and treatment </w:t>
      </w:r>
      <w:r>
        <w:rPr>
          <w:color w:val="000000"/>
        </w:rPr>
        <w:t>of mental disorders, ther</w:t>
      </w:r>
      <w:r w:rsidRPr="00331FF0">
        <w:rPr>
          <w:color w:val="000000"/>
        </w:rPr>
        <w:t xml:space="preserve">e is no funding in the OAA specifically designated for prevention, intervention, and treatment services. States and communities have had to be creative in how they support these programs and services. Many aging network providers are working closely with behavioral health, primary care, and other partners to connect older adults with existing behavioral health resources. In addition, some providers are delivering evidence-based community interventions, such as the Program to Encourage Rewarding Lives for Seniors (PEARLS), using a braided funding approach </w:t>
      </w:r>
      <w:r>
        <w:rPr>
          <w:color w:val="000000"/>
        </w:rPr>
        <w:t>(</w:t>
      </w:r>
      <w:r w:rsidRPr="00331FF0">
        <w:rPr>
          <w:color w:val="000000"/>
        </w:rPr>
        <w:t>i.e., us</w:t>
      </w:r>
      <w:r w:rsidR="00B601D3">
        <w:rPr>
          <w:color w:val="000000"/>
        </w:rPr>
        <w:t>ing</w:t>
      </w:r>
      <w:r w:rsidRPr="00331FF0">
        <w:rPr>
          <w:color w:val="000000"/>
        </w:rPr>
        <w:t xml:space="preserve"> a combination of funds, such as those from the OAA, Substance Abuse and Mental Health </w:t>
      </w:r>
      <w:r>
        <w:rPr>
          <w:color w:val="000000"/>
        </w:rPr>
        <w:t xml:space="preserve">Services </w:t>
      </w:r>
      <w:r w:rsidRPr="00331FF0">
        <w:rPr>
          <w:color w:val="000000"/>
        </w:rPr>
        <w:t xml:space="preserve">Administration </w:t>
      </w:r>
      <w:r>
        <w:rPr>
          <w:color w:val="000000"/>
        </w:rPr>
        <w:t xml:space="preserve">(SAMHSA) </w:t>
      </w:r>
      <w:r w:rsidRPr="00331FF0">
        <w:rPr>
          <w:color w:val="000000"/>
        </w:rPr>
        <w:t>block grants, private foundations, etc.</w:t>
      </w:r>
      <w:r>
        <w:rPr>
          <w:color w:val="000000"/>
        </w:rPr>
        <w:t>)</w:t>
      </w:r>
      <w:r w:rsidRPr="00331FF0">
        <w:rPr>
          <w:color w:val="000000"/>
        </w:rPr>
        <w:t>.</w:t>
      </w:r>
    </w:p>
    <w:p w:rsidR="001837D4" w:rsidRPr="00331FF0" w:rsidRDefault="001837D4" w:rsidP="001837D4">
      <w:pPr>
        <w:autoSpaceDE w:val="0"/>
        <w:autoSpaceDN w:val="0"/>
        <w:adjustRightInd w:val="0"/>
        <w:jc w:val="both"/>
        <w:rPr>
          <w:color w:val="000000"/>
        </w:rPr>
      </w:pPr>
    </w:p>
    <w:p w:rsidR="001837D4" w:rsidRPr="00331FF0" w:rsidRDefault="001837D4" w:rsidP="001837D4">
      <w:pPr>
        <w:autoSpaceDE w:val="0"/>
        <w:autoSpaceDN w:val="0"/>
        <w:adjustRightInd w:val="0"/>
        <w:jc w:val="both"/>
        <w:rPr>
          <w:color w:val="000000"/>
        </w:rPr>
      </w:pPr>
      <w:r>
        <w:rPr>
          <w:color w:val="000000"/>
        </w:rPr>
        <w:t>In FY 2015, ACL</w:t>
      </w:r>
      <w:r w:rsidRPr="00331FF0">
        <w:rPr>
          <w:color w:val="000000"/>
        </w:rPr>
        <w:t xml:space="preserve"> and SAMHSA </w:t>
      </w:r>
      <w:r>
        <w:rPr>
          <w:color w:val="000000"/>
        </w:rPr>
        <w:t>continued its</w:t>
      </w:r>
      <w:r w:rsidRPr="00331FF0">
        <w:rPr>
          <w:color w:val="000000"/>
        </w:rPr>
        <w:t xml:space="preserve"> partner</w:t>
      </w:r>
      <w:r>
        <w:rPr>
          <w:color w:val="000000"/>
        </w:rPr>
        <w:t>ship</w:t>
      </w:r>
      <w:r w:rsidRPr="00331FF0">
        <w:rPr>
          <w:color w:val="000000"/>
        </w:rPr>
        <w:t xml:space="preserve"> to provide technical assistance aimed at increasing states’ capacities for reaching older adults who are</w:t>
      </w:r>
      <w:r>
        <w:rPr>
          <w:color w:val="000000"/>
        </w:rPr>
        <w:t xml:space="preserve"> experiencing or are</w:t>
      </w:r>
      <w:r w:rsidRPr="00331FF0">
        <w:rPr>
          <w:color w:val="000000"/>
        </w:rPr>
        <w:t xml:space="preserve"> at-risk for behavioral health disorders. </w:t>
      </w:r>
      <w:r>
        <w:rPr>
          <w:color w:val="000000"/>
        </w:rPr>
        <w:t xml:space="preserve">Most recently, they worked together to </w:t>
      </w:r>
      <w:r w:rsidRPr="00331FF0">
        <w:rPr>
          <w:color w:val="000000"/>
        </w:rPr>
        <w:t xml:space="preserve">support the development of a variety of tangible materials, such as epidemiological profiles, </w:t>
      </w:r>
      <w:r>
        <w:rPr>
          <w:color w:val="000000"/>
        </w:rPr>
        <w:t xml:space="preserve">toolkits, </w:t>
      </w:r>
      <w:r w:rsidRPr="00331FF0">
        <w:rPr>
          <w:color w:val="000000"/>
        </w:rPr>
        <w:t xml:space="preserve">issue briefs, </w:t>
      </w:r>
      <w:r>
        <w:rPr>
          <w:color w:val="000000"/>
        </w:rPr>
        <w:t xml:space="preserve">and learning opportunities, such as </w:t>
      </w:r>
      <w:r w:rsidRPr="00331FF0">
        <w:rPr>
          <w:color w:val="000000"/>
        </w:rPr>
        <w:t>webinars</w:t>
      </w:r>
      <w:r>
        <w:rPr>
          <w:color w:val="000000"/>
        </w:rPr>
        <w:t>.</w:t>
      </w:r>
      <w:r w:rsidRPr="00331FF0">
        <w:rPr>
          <w:color w:val="000000"/>
        </w:rPr>
        <w:t xml:space="preserve">  The materials developed through this partnership have been successful in helping many states enhance their efforts to reach older adults who are </w:t>
      </w:r>
      <w:r>
        <w:rPr>
          <w:color w:val="000000"/>
        </w:rPr>
        <w:t xml:space="preserve">experiencing or are </w:t>
      </w:r>
      <w:r w:rsidRPr="00331FF0">
        <w:rPr>
          <w:color w:val="000000"/>
        </w:rPr>
        <w:t xml:space="preserve">at-risk for behavioral health disorders. </w:t>
      </w:r>
    </w:p>
    <w:p w:rsidR="001837D4" w:rsidRDefault="001837D4" w:rsidP="001837D4">
      <w:pPr>
        <w:autoSpaceDE w:val="0"/>
        <w:autoSpaceDN w:val="0"/>
        <w:adjustRightInd w:val="0"/>
        <w:jc w:val="both"/>
        <w:rPr>
          <w:color w:val="000000"/>
        </w:rPr>
      </w:pPr>
    </w:p>
    <w:p w:rsidR="001837D4" w:rsidRPr="00CB39A0" w:rsidRDefault="001837D4" w:rsidP="00EB7718">
      <w:pPr>
        <w:pStyle w:val="Heading2"/>
      </w:pPr>
      <w:r w:rsidRPr="00CB39A0">
        <w:t>Falls Prevention Programs</w:t>
      </w:r>
    </w:p>
    <w:p w:rsidR="001837D4" w:rsidRPr="00002098" w:rsidRDefault="001837D4" w:rsidP="001837D4">
      <w:pPr>
        <w:autoSpaceDE w:val="0"/>
        <w:autoSpaceDN w:val="0"/>
        <w:adjustRightInd w:val="0"/>
        <w:jc w:val="center"/>
        <w:rPr>
          <w:b/>
          <w:i/>
          <w:color w:val="000000"/>
        </w:rPr>
      </w:pPr>
      <w:r w:rsidRPr="00002098">
        <w:rPr>
          <w:b/>
          <w:i/>
          <w:color w:val="000000"/>
        </w:rPr>
        <w:t>(FY 201</w:t>
      </w:r>
      <w:r>
        <w:rPr>
          <w:b/>
          <w:i/>
          <w:color w:val="000000"/>
        </w:rPr>
        <w:t>5</w:t>
      </w:r>
      <w:r w:rsidRPr="00002098">
        <w:rPr>
          <w:b/>
          <w:i/>
          <w:color w:val="000000"/>
        </w:rPr>
        <w:t>: $5,000,000)</w:t>
      </w:r>
    </w:p>
    <w:p w:rsidR="001837D4" w:rsidRPr="00CB39A0" w:rsidRDefault="001837D4" w:rsidP="001837D4">
      <w:pPr>
        <w:autoSpaceDE w:val="0"/>
        <w:autoSpaceDN w:val="0"/>
        <w:adjustRightInd w:val="0"/>
        <w:jc w:val="both"/>
        <w:rPr>
          <w:color w:val="000000"/>
        </w:rPr>
      </w:pPr>
    </w:p>
    <w:p w:rsidR="001837D4" w:rsidRPr="00CB39A0" w:rsidRDefault="001837D4" w:rsidP="001837D4">
      <w:pPr>
        <w:autoSpaceDE w:val="0"/>
        <w:autoSpaceDN w:val="0"/>
        <w:adjustRightInd w:val="0"/>
        <w:jc w:val="both"/>
        <w:rPr>
          <w:color w:val="000000"/>
        </w:rPr>
      </w:pPr>
      <w:r w:rsidRPr="00CB39A0">
        <w:rPr>
          <w:color w:val="000000"/>
        </w:rPr>
        <w:t xml:space="preserve">Falls can have a widespread and significant impact on health, can be deadly, and often result in high costs. One out of </w:t>
      </w:r>
      <w:r>
        <w:rPr>
          <w:color w:val="000000"/>
        </w:rPr>
        <w:t>four</w:t>
      </w:r>
      <w:r w:rsidRPr="00CB39A0">
        <w:rPr>
          <w:color w:val="000000"/>
        </w:rPr>
        <w:t xml:space="preserve"> older adults (those aged 65 or older) fall each year</w:t>
      </w:r>
      <w:r>
        <w:rPr>
          <w:color w:val="000000"/>
        </w:rPr>
        <w:t>,</w:t>
      </w:r>
      <w:r>
        <w:rPr>
          <w:rStyle w:val="FootnoteReference"/>
          <w:color w:val="000000"/>
        </w:rPr>
        <w:footnoteReference w:id="72"/>
      </w:r>
      <w:r w:rsidRPr="00CB39A0">
        <w:rPr>
          <w:color w:val="000000"/>
        </w:rPr>
        <w:t xml:space="preserve"> but less than half talk to their healthcare providers about it.</w:t>
      </w:r>
      <w:r>
        <w:rPr>
          <w:rStyle w:val="FootnoteReference"/>
          <w:color w:val="000000"/>
        </w:rPr>
        <w:footnoteReference w:id="73"/>
      </w:r>
      <w:r w:rsidRPr="00CB39A0">
        <w:rPr>
          <w:color w:val="000000"/>
        </w:rPr>
        <w:t xml:space="preserve"> In 201</w:t>
      </w:r>
      <w:r>
        <w:rPr>
          <w:color w:val="000000"/>
        </w:rPr>
        <w:t>4</w:t>
      </w:r>
      <w:r w:rsidRPr="00CB39A0">
        <w:rPr>
          <w:color w:val="000000"/>
        </w:rPr>
        <w:t>, 2.</w:t>
      </w:r>
      <w:r>
        <w:rPr>
          <w:color w:val="000000"/>
        </w:rPr>
        <w:t>8</w:t>
      </w:r>
      <w:r w:rsidRPr="00CB39A0">
        <w:rPr>
          <w:color w:val="000000"/>
        </w:rPr>
        <w:t xml:space="preserve"> million nonfatal falls among older adults were treated in emergency departments and more than </w:t>
      </w:r>
      <w:r>
        <w:rPr>
          <w:color w:val="000000"/>
        </w:rPr>
        <w:t>800,000</w:t>
      </w:r>
      <w:r w:rsidRPr="00CB39A0">
        <w:rPr>
          <w:color w:val="000000"/>
        </w:rPr>
        <w:t xml:space="preserve"> of these patients were hospitalized.</w:t>
      </w:r>
      <w:r>
        <w:rPr>
          <w:rStyle w:val="FootnoteReference"/>
          <w:color w:val="000000"/>
        </w:rPr>
        <w:footnoteReference w:id="74"/>
      </w:r>
      <w:r w:rsidRPr="00CB39A0">
        <w:rPr>
          <w:color w:val="000000"/>
        </w:rPr>
        <w:t xml:space="preserve"> </w:t>
      </w:r>
      <w:r w:rsidR="00E01E86">
        <w:rPr>
          <w:color w:val="000000"/>
        </w:rPr>
        <w:t xml:space="preserve"> </w:t>
      </w:r>
      <w:r w:rsidRPr="00CB39A0">
        <w:rPr>
          <w:color w:val="000000"/>
        </w:rPr>
        <w:t>In 201</w:t>
      </w:r>
      <w:r>
        <w:rPr>
          <w:color w:val="000000"/>
        </w:rPr>
        <w:t>4</w:t>
      </w:r>
      <w:r w:rsidRPr="00CB39A0">
        <w:rPr>
          <w:color w:val="000000"/>
        </w:rPr>
        <w:t xml:space="preserve">, </w:t>
      </w:r>
      <w:r>
        <w:rPr>
          <w:color w:val="000000"/>
        </w:rPr>
        <w:t>a</w:t>
      </w:r>
      <w:r w:rsidRPr="004E0892">
        <w:rPr>
          <w:color w:val="000000"/>
        </w:rPr>
        <w:t xml:space="preserve">djusted for inflation, the direct medical costs for fall injuries </w:t>
      </w:r>
      <w:r>
        <w:rPr>
          <w:color w:val="000000"/>
        </w:rPr>
        <w:t>were</w:t>
      </w:r>
      <w:r w:rsidRPr="004E0892">
        <w:rPr>
          <w:color w:val="000000"/>
        </w:rPr>
        <w:t xml:space="preserve"> $31 billion annually</w:t>
      </w:r>
      <w:r w:rsidRPr="00CB39A0">
        <w:rPr>
          <w:color w:val="000000"/>
        </w:rPr>
        <w:t>.</w:t>
      </w:r>
      <w:r>
        <w:rPr>
          <w:rStyle w:val="FootnoteReference"/>
          <w:color w:val="000000"/>
        </w:rPr>
        <w:footnoteReference w:id="75"/>
      </w:r>
    </w:p>
    <w:p w:rsidR="001837D4" w:rsidRPr="00CB39A0" w:rsidRDefault="001837D4" w:rsidP="001837D4">
      <w:pPr>
        <w:autoSpaceDE w:val="0"/>
        <w:autoSpaceDN w:val="0"/>
        <w:adjustRightInd w:val="0"/>
        <w:jc w:val="both"/>
        <w:rPr>
          <w:color w:val="000000"/>
        </w:rPr>
      </w:pPr>
    </w:p>
    <w:p w:rsidR="001837D4" w:rsidRPr="00CB39A0" w:rsidRDefault="001837D4" w:rsidP="001837D4">
      <w:pPr>
        <w:autoSpaceDE w:val="0"/>
        <w:autoSpaceDN w:val="0"/>
        <w:adjustRightInd w:val="0"/>
        <w:jc w:val="both"/>
        <w:rPr>
          <w:color w:val="000000"/>
        </w:rPr>
      </w:pPr>
      <w:r w:rsidRPr="00CB39A0">
        <w:rPr>
          <w:color w:val="000000"/>
        </w:rPr>
        <w:lastRenderedPageBreak/>
        <w:t>Research has shown that falls</w:t>
      </w:r>
      <w:r w:rsidR="0075003B">
        <w:rPr>
          <w:color w:val="000000"/>
        </w:rPr>
        <w:t>,</w:t>
      </w:r>
      <w:r w:rsidRPr="00CB39A0">
        <w:rPr>
          <w:color w:val="000000"/>
        </w:rPr>
        <w:t xml:space="preserve"> and </w:t>
      </w:r>
      <w:r w:rsidR="0075003B">
        <w:rPr>
          <w:color w:val="000000"/>
        </w:rPr>
        <w:t xml:space="preserve">the </w:t>
      </w:r>
      <w:r w:rsidRPr="00CB39A0">
        <w:rPr>
          <w:color w:val="000000"/>
        </w:rPr>
        <w:t>risk</w:t>
      </w:r>
      <w:r w:rsidR="0075003B">
        <w:rPr>
          <w:color w:val="000000"/>
        </w:rPr>
        <w:t xml:space="preserve"> of falls,</w:t>
      </w:r>
      <w:r w:rsidRPr="00CB39A0">
        <w:rPr>
          <w:color w:val="000000"/>
        </w:rPr>
        <w:t xml:space="preserve"> can be reduced through systematic risk identification and targeted intervention, including a combination of clinical and community-based interventions</w:t>
      </w:r>
      <w:r>
        <w:rPr>
          <w:color w:val="000000"/>
        </w:rPr>
        <w:t>.</w:t>
      </w:r>
      <w:r>
        <w:rPr>
          <w:rStyle w:val="FootnoteReference"/>
          <w:color w:val="000000"/>
        </w:rPr>
        <w:footnoteReference w:id="76"/>
      </w:r>
      <w:r w:rsidRPr="00CB39A0">
        <w:rPr>
          <w:color w:val="000000"/>
        </w:rPr>
        <w:t xml:space="preserve"> Community-based falls prevention programs are low-cost, evidence-based disease prevention models that help reduce falls and/or fall risk factors in older adults, and potentially reduce their need for more costly medical care. Examples of these programs include</w:t>
      </w:r>
      <w:r>
        <w:rPr>
          <w:color w:val="000000"/>
        </w:rPr>
        <w:t>:</w:t>
      </w:r>
      <w:r w:rsidRPr="00CB39A0">
        <w:rPr>
          <w:color w:val="000000"/>
        </w:rPr>
        <w:t xml:space="preserve"> A Matter of Balance (MOB)</w:t>
      </w:r>
      <w:r>
        <w:rPr>
          <w:color w:val="000000"/>
        </w:rPr>
        <w:t>;</w:t>
      </w:r>
      <w:r w:rsidRPr="00CB39A0">
        <w:rPr>
          <w:color w:val="000000"/>
        </w:rPr>
        <w:t xml:space="preserve"> Tai Chi: Moving for Better Balance (Tai Chi: MBB)</w:t>
      </w:r>
      <w:r>
        <w:rPr>
          <w:color w:val="000000"/>
        </w:rPr>
        <w:t>;</w:t>
      </w:r>
      <w:r w:rsidRPr="00CB39A0">
        <w:rPr>
          <w:color w:val="000000"/>
        </w:rPr>
        <w:t xml:space="preserve"> Otago</w:t>
      </w:r>
      <w:r>
        <w:rPr>
          <w:color w:val="000000"/>
        </w:rPr>
        <w:t>;</w:t>
      </w:r>
      <w:r w:rsidRPr="00CB39A0">
        <w:rPr>
          <w:color w:val="000000"/>
        </w:rPr>
        <w:t xml:space="preserve"> and Stepping On. A recent </w:t>
      </w:r>
      <w:r>
        <w:rPr>
          <w:color w:val="000000"/>
        </w:rPr>
        <w:t xml:space="preserve">CMS </w:t>
      </w:r>
      <w:r w:rsidRPr="00CB39A0">
        <w:rPr>
          <w:color w:val="000000"/>
        </w:rPr>
        <w:t>report to Congress indicated that MOB is associated with medical cost savings,</w:t>
      </w:r>
      <w:r>
        <w:rPr>
          <w:rStyle w:val="FootnoteReference"/>
          <w:color w:val="000000"/>
        </w:rPr>
        <w:footnoteReference w:id="77"/>
      </w:r>
      <w:r w:rsidRPr="00CB39A0">
        <w:rPr>
          <w:color w:val="000000"/>
        </w:rPr>
        <w:t xml:space="preserve"> and a recent study showed a positive return on investment for the implementation of Tai Chi: MBB, Stepping On, and Otago</w:t>
      </w:r>
      <w:r>
        <w:rPr>
          <w:color w:val="000000"/>
        </w:rPr>
        <w:t>.</w:t>
      </w:r>
      <w:r>
        <w:rPr>
          <w:rStyle w:val="FootnoteReference"/>
          <w:color w:val="000000"/>
        </w:rPr>
        <w:footnoteReference w:id="78"/>
      </w:r>
    </w:p>
    <w:p w:rsidR="001837D4" w:rsidRPr="00CB39A0" w:rsidRDefault="001837D4" w:rsidP="001837D4">
      <w:pPr>
        <w:autoSpaceDE w:val="0"/>
        <w:autoSpaceDN w:val="0"/>
        <w:adjustRightInd w:val="0"/>
        <w:jc w:val="both"/>
        <w:rPr>
          <w:color w:val="000000"/>
        </w:rPr>
      </w:pPr>
    </w:p>
    <w:p w:rsidR="001837D4" w:rsidRPr="00CB39A0" w:rsidRDefault="001837D4" w:rsidP="001837D4">
      <w:pPr>
        <w:autoSpaceDE w:val="0"/>
        <w:autoSpaceDN w:val="0"/>
        <w:adjustRightInd w:val="0"/>
        <w:jc w:val="both"/>
        <w:rPr>
          <w:color w:val="000000"/>
        </w:rPr>
      </w:pPr>
      <w:r w:rsidRPr="00CB39A0">
        <w:rPr>
          <w:color w:val="000000"/>
        </w:rPr>
        <w:t>ACL received dedicated funding for falls prevention programs through the Prevention and Public Health Fund (PPHF) in FY</w:t>
      </w:r>
      <w:r w:rsidR="00E01E86">
        <w:rPr>
          <w:color w:val="000000"/>
        </w:rPr>
        <w:t xml:space="preserve"> </w:t>
      </w:r>
      <w:r w:rsidRPr="00CB39A0">
        <w:rPr>
          <w:color w:val="000000"/>
        </w:rPr>
        <w:t>201</w:t>
      </w:r>
      <w:r>
        <w:rPr>
          <w:color w:val="000000"/>
        </w:rPr>
        <w:t>5</w:t>
      </w:r>
      <w:r w:rsidRPr="00CB39A0">
        <w:rPr>
          <w:color w:val="000000"/>
        </w:rPr>
        <w:t xml:space="preserve">. A competitive funding announcement was published, and applications for this opportunity were reviewed by external experts. A total of </w:t>
      </w:r>
      <w:r>
        <w:rPr>
          <w:color w:val="000000"/>
        </w:rPr>
        <w:t>7</w:t>
      </w:r>
      <w:r w:rsidRPr="00CB39A0">
        <w:rPr>
          <w:color w:val="000000"/>
        </w:rPr>
        <w:t xml:space="preserve"> grants were awarded to domestic public and private nonprofit entities, including state agencies</w:t>
      </w:r>
      <w:r>
        <w:rPr>
          <w:color w:val="000000"/>
        </w:rPr>
        <w:t>, a university, and</w:t>
      </w:r>
      <w:r w:rsidRPr="00CB39A0">
        <w:rPr>
          <w:color w:val="000000"/>
        </w:rPr>
        <w:t xml:space="preserve"> community organizations. These two-year grants are intended to increase the number of older adults and adults with disabilities who participate in evidence-based community programs to reduce falls</w:t>
      </w:r>
      <w:r>
        <w:rPr>
          <w:color w:val="000000"/>
        </w:rPr>
        <w:t>,</w:t>
      </w:r>
      <w:r w:rsidRPr="00CB39A0">
        <w:rPr>
          <w:color w:val="000000"/>
        </w:rPr>
        <w:t xml:space="preserve"> fall risks</w:t>
      </w:r>
      <w:r>
        <w:rPr>
          <w:color w:val="000000"/>
        </w:rPr>
        <w:t>, and fear of falling</w:t>
      </w:r>
      <w:r w:rsidRPr="00CB39A0">
        <w:rPr>
          <w:color w:val="000000"/>
        </w:rPr>
        <w:t xml:space="preserve">.  All of the grantees identified underserved target populations and partnering organizations to reach these populations, such as those living in rural areas, and organizations serving ethnically-diverse and/or limited English speaking populations. The funding is also fostering the development of innovative funding arrangements to support these falls prevention programs, while embedding the programs into an integrated, sustainable evidence-based prevention program network. Grantees have a cumulative goal of reaching </w:t>
      </w:r>
      <w:r w:rsidRPr="00B7605A">
        <w:rPr>
          <w:color w:val="000000"/>
        </w:rPr>
        <w:t>16,876</w:t>
      </w:r>
      <w:r w:rsidRPr="00B7605A" w:rsidDel="00B7605A">
        <w:rPr>
          <w:color w:val="000000"/>
        </w:rPr>
        <w:t xml:space="preserve"> </w:t>
      </w:r>
      <w:r w:rsidRPr="00CB39A0">
        <w:rPr>
          <w:color w:val="000000"/>
        </w:rPr>
        <w:t xml:space="preserve">older adults and/or </w:t>
      </w:r>
      <w:r>
        <w:rPr>
          <w:color w:val="000000"/>
        </w:rPr>
        <w:t>older adults</w:t>
      </w:r>
      <w:r w:rsidRPr="00CB39A0">
        <w:rPr>
          <w:color w:val="000000"/>
        </w:rPr>
        <w:t xml:space="preserve"> with disabilities over the two-year period. </w:t>
      </w:r>
    </w:p>
    <w:p w:rsidR="001837D4" w:rsidRPr="00CB39A0" w:rsidRDefault="001837D4" w:rsidP="001837D4">
      <w:pPr>
        <w:autoSpaceDE w:val="0"/>
        <w:autoSpaceDN w:val="0"/>
        <w:adjustRightInd w:val="0"/>
        <w:jc w:val="both"/>
        <w:rPr>
          <w:color w:val="000000"/>
        </w:rPr>
      </w:pPr>
    </w:p>
    <w:p w:rsidR="001837D4" w:rsidRDefault="001837D4" w:rsidP="001837D4">
      <w:pPr>
        <w:autoSpaceDE w:val="0"/>
        <w:autoSpaceDN w:val="0"/>
        <w:adjustRightInd w:val="0"/>
        <w:jc w:val="both"/>
        <w:rPr>
          <w:color w:val="000000"/>
        </w:rPr>
      </w:pPr>
      <w:r w:rsidRPr="00CB39A0">
        <w:rPr>
          <w:color w:val="000000"/>
        </w:rPr>
        <w:t>Through financing from the FY</w:t>
      </w:r>
      <w:r w:rsidR="00E01E86">
        <w:rPr>
          <w:color w:val="000000"/>
        </w:rPr>
        <w:t xml:space="preserve"> </w:t>
      </w:r>
      <w:r w:rsidRPr="00CB39A0">
        <w:rPr>
          <w:color w:val="000000"/>
        </w:rPr>
        <w:t>201</w:t>
      </w:r>
      <w:r>
        <w:rPr>
          <w:color w:val="000000"/>
        </w:rPr>
        <w:t>5</w:t>
      </w:r>
      <w:r w:rsidRPr="00CB39A0">
        <w:rPr>
          <w:color w:val="000000"/>
        </w:rPr>
        <w:t xml:space="preserve"> PPHF, AoA also funded </w:t>
      </w:r>
      <w:r>
        <w:rPr>
          <w:color w:val="000000"/>
        </w:rPr>
        <w:t>the</w:t>
      </w:r>
      <w:r w:rsidRPr="00CB39A0">
        <w:rPr>
          <w:color w:val="000000"/>
        </w:rPr>
        <w:t xml:space="preserve"> National Falls Prevention Resource Center to work collaboratively – on behalf of the public, aging services network, and other stakeholders – to increase public education about the risks of falls and how to prevent them, as well as to support and stimulate the implementation and dissemination of evidence-based community programs and strategies that have been proven to reduce the incidence of falls among seniors. </w:t>
      </w:r>
    </w:p>
    <w:p w:rsidR="001837D4" w:rsidRPr="001837D4" w:rsidRDefault="001837D4" w:rsidP="00EB7718">
      <w:pPr>
        <w:pStyle w:val="Heading2"/>
      </w:pPr>
    </w:p>
    <w:p w:rsidR="00DF0A1A" w:rsidRDefault="00DF0A1A">
      <w:pPr>
        <w:rPr>
          <w:b/>
          <w:bCs/>
          <w:iCs/>
          <w:sz w:val="28"/>
          <w:szCs w:val="28"/>
          <w:lang w:bidi="en-US"/>
        </w:rPr>
      </w:pPr>
      <w:bookmarkStart w:id="21" w:name="_Toc436738876"/>
      <w:bookmarkEnd w:id="20"/>
      <w:r>
        <w:br w:type="page"/>
      </w:r>
    </w:p>
    <w:p w:rsidR="007E5B60" w:rsidRDefault="007E5B60" w:rsidP="00EB7718">
      <w:pPr>
        <w:pStyle w:val="Heading2"/>
      </w:pPr>
      <w:r>
        <w:lastRenderedPageBreak/>
        <w:t>Caregiver Services</w:t>
      </w:r>
      <w:bookmarkEnd w:id="21"/>
    </w:p>
    <w:p w:rsidR="007E5B60" w:rsidRDefault="007E5B60" w:rsidP="007E5B60">
      <w:pPr>
        <w:autoSpaceDE w:val="0"/>
        <w:autoSpaceDN w:val="0"/>
        <w:adjustRightInd w:val="0"/>
        <w:jc w:val="both"/>
        <w:rPr>
          <w:color w:val="000000"/>
        </w:rPr>
      </w:pPr>
    </w:p>
    <w:p w:rsidR="007E5B60" w:rsidRDefault="007E5B60" w:rsidP="007E5B60">
      <w:pPr>
        <w:autoSpaceDE w:val="0"/>
        <w:autoSpaceDN w:val="0"/>
        <w:adjustRightInd w:val="0"/>
        <w:jc w:val="both"/>
      </w:pPr>
      <w:r>
        <w:rPr>
          <w:color w:val="000000"/>
        </w:rPr>
        <w:t xml:space="preserve">Families are the nation’s primary providers </w:t>
      </w:r>
      <w:r w:rsidR="006D1716">
        <w:rPr>
          <w:color w:val="000000"/>
        </w:rPr>
        <w:t>of care</w:t>
      </w:r>
      <w:r>
        <w:rPr>
          <w:color w:val="000000"/>
        </w:rPr>
        <w:t>, but a number of factors including financial constraints, work and family demands, and the many challenges of</w:t>
      </w:r>
      <w:bookmarkStart w:id="22" w:name="_Toc303606072"/>
      <w:bookmarkStart w:id="23" w:name="_Toc316405573"/>
      <w:bookmarkEnd w:id="16"/>
      <w:bookmarkEnd w:id="17"/>
      <w:bookmarkEnd w:id="18"/>
      <w:r w:rsidR="00B42FC8" w:rsidRPr="007E5B60">
        <w:rPr>
          <w:b/>
        </w:rPr>
        <w:t xml:space="preserve"> </w:t>
      </w:r>
      <w:r w:rsidR="00B42FC8" w:rsidRPr="007E5B60">
        <w:t xml:space="preserve">providing care place great pressure on family caregivers. Caregiving responsibilities demand time and money from families who often are strapped for both. AoA’s caregiver programs provide services that address the needs of unpaid, informal caregivers, allowing many of them to continue to work while providing critically needed care.  </w:t>
      </w:r>
    </w:p>
    <w:p w:rsidR="007E5B60" w:rsidRDefault="007E5B60" w:rsidP="007E5B60">
      <w:pPr>
        <w:autoSpaceDE w:val="0"/>
        <w:autoSpaceDN w:val="0"/>
        <w:adjustRightInd w:val="0"/>
        <w:jc w:val="both"/>
      </w:pPr>
    </w:p>
    <w:p w:rsidR="00EE2A50" w:rsidRDefault="00504046" w:rsidP="00EE2A50">
      <w:pPr>
        <w:autoSpaceDE w:val="0"/>
        <w:autoSpaceDN w:val="0"/>
        <w:adjustRightInd w:val="0"/>
        <w:jc w:val="both"/>
      </w:pPr>
      <w:r w:rsidRPr="007E5B60">
        <w:t xml:space="preserve">Better support for informal caregivers is critical because often it is their availability </w:t>
      </w:r>
      <w:r w:rsidR="0031784D">
        <w:t>–</w:t>
      </w:r>
      <w:r w:rsidRPr="007E5B60">
        <w:t xml:space="preserve"> whether they are informal family caregivers or unrelated friends</w:t>
      </w:r>
      <w:r w:rsidR="00526576">
        <w:t>,</w:t>
      </w:r>
      <w:r w:rsidRPr="007E5B60">
        <w:t xml:space="preserve"> neighbors</w:t>
      </w:r>
      <w:r w:rsidR="00526576">
        <w:t>, and others who have a significant relationsip with the person</w:t>
      </w:r>
      <w:r w:rsidRPr="007E5B60">
        <w:t xml:space="preserve"> who volunteer</w:t>
      </w:r>
      <w:r w:rsidR="00526576">
        <w:t>s</w:t>
      </w:r>
      <w:r w:rsidRPr="007E5B60">
        <w:t xml:space="preserve"> their time </w:t>
      </w:r>
      <w:r w:rsidR="0031784D">
        <w:t>–</w:t>
      </w:r>
      <w:r w:rsidRPr="007E5B60">
        <w:t xml:space="preserve"> that determines whether an older person can remain in his or her home.  In </w:t>
      </w:r>
      <w:r w:rsidR="009E3999">
        <w:t>2014</w:t>
      </w:r>
      <w:r w:rsidRPr="007E5B60">
        <w:t xml:space="preserve">, approximately </w:t>
      </w:r>
      <w:r w:rsidR="009E3999">
        <w:t>34.2</w:t>
      </w:r>
      <w:r w:rsidRPr="007E5B60">
        <w:t xml:space="preserve"> million adult caregivers provided uncompensated care to those 50 years of age and older.</w:t>
      </w:r>
      <w:r w:rsidR="003755C1">
        <w:rPr>
          <w:rStyle w:val="FootnoteReference"/>
        </w:rPr>
        <w:footnoteReference w:id="79"/>
      </w:r>
      <w:r w:rsidRPr="007E5B60">
        <w:t xml:space="preserve"> In other words, approximately </w:t>
      </w:r>
      <w:r w:rsidR="009E3999">
        <w:t>14.3</w:t>
      </w:r>
      <w:r w:rsidR="009E3999" w:rsidRPr="007E5B60">
        <w:t xml:space="preserve"> </w:t>
      </w:r>
      <w:r w:rsidRPr="007E5B60">
        <w:t>percent of all adults provided care to someone age 50 years and older.</w:t>
      </w:r>
      <w:r w:rsidRPr="007E5B60">
        <w:rPr>
          <w:rStyle w:val="FootnoteReference"/>
        </w:rPr>
        <w:footnoteReference w:id="80"/>
      </w:r>
      <w:r w:rsidRPr="007E5B60">
        <w:t xml:space="preserve"> AARP estimated the economic cost of replacing unpaid caregiving in 20</w:t>
      </w:r>
      <w:r w:rsidR="00A85351">
        <w:t>13</w:t>
      </w:r>
      <w:r w:rsidRPr="007E5B60">
        <w:t xml:space="preserve"> to be about $4</w:t>
      </w:r>
      <w:r w:rsidR="00A85351">
        <w:t>7</w:t>
      </w:r>
      <w:r w:rsidRPr="007E5B60">
        <w:t>0 billion, an increase from $</w:t>
      </w:r>
      <w:r w:rsidR="007B3F93">
        <w:t>450</w:t>
      </w:r>
      <w:r w:rsidRPr="007E5B60">
        <w:t xml:space="preserve"> billion in 200</w:t>
      </w:r>
      <w:r w:rsidR="007B3F93">
        <w:t>9</w:t>
      </w:r>
      <w:r w:rsidRPr="007E5B60">
        <w:t xml:space="preserve"> (cost if that care had to be replaced with paid services).</w:t>
      </w:r>
      <w:r w:rsidR="00423D0D" w:rsidRPr="007E5B60">
        <w:rPr>
          <w:rStyle w:val="FootnoteReference"/>
        </w:rPr>
        <w:footnoteReference w:id="81"/>
      </w:r>
      <w:r w:rsidRPr="007E5B60">
        <w:t xml:space="preserve"> </w:t>
      </w:r>
      <w:r w:rsidR="00C45556">
        <w:t>Another recent</w:t>
      </w:r>
      <w:r w:rsidR="002D0BD1">
        <w:t xml:space="preserve"> study by the </w:t>
      </w:r>
      <w:r w:rsidR="002D0BD1" w:rsidRPr="009E443F">
        <w:t>Rand Corporation estimated the economic cost of replacing unpaid caregiving to be about $522 billion annually.</w:t>
      </w:r>
      <w:r w:rsidR="002D0BD1">
        <w:rPr>
          <w:rStyle w:val="FootnoteReference"/>
        </w:rPr>
        <w:footnoteReference w:id="82"/>
      </w:r>
      <w:r w:rsidR="002D0BD1" w:rsidRPr="009E443F">
        <w:t xml:space="preserve"> </w:t>
      </w:r>
      <w:r w:rsidR="002D0BD1">
        <w:t>The cost to replace that care with unskilled paid care at minimum wage was estimated at $221 billion, while replacing it with skilled nursing care could cost $642 billion annually.</w:t>
      </w:r>
      <w:r w:rsidR="007B3F93">
        <w:t xml:space="preserve"> </w:t>
      </w:r>
      <w:r w:rsidR="007B3F93" w:rsidRPr="007B3F93">
        <w:t>These estimates differ because of differences in methodology and definitions rather than contradictory data.</w:t>
      </w:r>
    </w:p>
    <w:p w:rsidR="00EE2A50" w:rsidRDefault="00EE2A50" w:rsidP="00EE2A50">
      <w:pPr>
        <w:jc w:val="both"/>
      </w:pPr>
    </w:p>
    <w:p w:rsidR="00504046" w:rsidRPr="00EE2A50" w:rsidRDefault="00504046" w:rsidP="00EE2A50">
      <w:pPr>
        <w:jc w:val="both"/>
      </w:pPr>
      <w:r w:rsidRPr="00AD5B58">
        <w:t>The demands of caregiving can be considerable. Recent research has demonstrated that caregiving tasks can, and do, go well beyond providing regular assistance with activities of daily living (ADLs) and instrumental activities of daily living (IADLs).  A 2012 study by AARP and United Hospital Fund revealed that, while family caregivers continue to perform the traditional ADL/IADL supports, their roles are expanding dramatically to include performing medical/nursing tasks of the type and complexity typically seen only in hospitals and other acute care settings.</w:t>
      </w:r>
      <w:r w:rsidR="00423D0D" w:rsidRPr="009F7665">
        <w:rPr>
          <w:rStyle w:val="FootnoteReference"/>
        </w:rPr>
        <w:footnoteReference w:id="83"/>
      </w:r>
      <w:r w:rsidRPr="009F7665">
        <w:t xml:space="preserve"> </w:t>
      </w:r>
      <w:r w:rsidRPr="00AD5B58">
        <w:t xml:space="preserve">  </w:t>
      </w:r>
    </w:p>
    <w:p w:rsidR="004F32F4" w:rsidRPr="00AD5B58" w:rsidRDefault="004F32F4" w:rsidP="00EE2A50">
      <w:pPr>
        <w:jc w:val="both"/>
      </w:pPr>
    </w:p>
    <w:p w:rsidR="00EE2A50" w:rsidRDefault="00504046" w:rsidP="00EE2A50">
      <w:pPr>
        <w:jc w:val="both"/>
      </w:pPr>
      <w:r w:rsidRPr="00AD5B58">
        <w:t>Such demands on family caregivers can lead to a breakdown of their health</w:t>
      </w:r>
      <w:r w:rsidR="009F7665">
        <w:t xml:space="preserve"> a</w:t>
      </w:r>
      <w:r w:rsidRPr="00AD5B58">
        <w:t>nd can increase the</w:t>
      </w:r>
      <w:r w:rsidR="004F32F4" w:rsidRPr="00AD5B58">
        <w:t xml:space="preserve"> </w:t>
      </w:r>
      <w:r w:rsidRPr="00AD5B58">
        <w:t>risk for institutionalization of the care recipient.</w:t>
      </w:r>
      <w:r w:rsidR="00707F46">
        <w:t xml:space="preserve">  </w:t>
      </w:r>
      <w:r w:rsidR="00707F46" w:rsidRPr="00085F3A">
        <w:t>While research is mixed on the exact physical health impacts of family caregiving, several recent studies show that caregivers reporting mental and emotional strain as a result of their caregiving role are at higher risk for mortality</w:t>
      </w:r>
      <w:r w:rsidRPr="00707F46">
        <w:t>.</w:t>
      </w:r>
      <w:r w:rsidR="00423D0D" w:rsidRPr="00707F46">
        <w:rPr>
          <w:rStyle w:val="FootnoteReference"/>
        </w:rPr>
        <w:footnoteReference w:id="84"/>
      </w:r>
      <w:r w:rsidR="00707F46" w:rsidRPr="00707F46">
        <w:rPr>
          <w:vertAlign w:val="superscript"/>
        </w:rPr>
        <w:t>,</w:t>
      </w:r>
      <w:r w:rsidR="00707F46" w:rsidRPr="00707F46">
        <w:rPr>
          <w:rStyle w:val="FootnoteReference"/>
        </w:rPr>
        <w:footnoteReference w:id="85"/>
      </w:r>
      <w:r w:rsidR="00707F46">
        <w:rPr>
          <w:vertAlign w:val="superscript"/>
        </w:rPr>
        <w:t>,</w:t>
      </w:r>
      <w:r w:rsidR="00707F46">
        <w:rPr>
          <w:rStyle w:val="FootnoteReference"/>
        </w:rPr>
        <w:footnoteReference w:id="86"/>
      </w:r>
      <w:r w:rsidRPr="00AD5B58">
        <w:t xml:space="preserve"> </w:t>
      </w:r>
      <w:r w:rsidR="009F7665">
        <w:lastRenderedPageBreak/>
        <w:t>P</w:t>
      </w:r>
      <w:r w:rsidRPr="00AD5B58">
        <w:t xml:space="preserve">roviding support that makes caregiving easier for family caregivers, such as information, counseling and training, respite care, or supplemental services, is critical to sustaining caregivers’ ability to continue in that role.  </w:t>
      </w:r>
      <w:r w:rsidR="00C45556">
        <w:t>Eighty</w:t>
      </w:r>
      <w:r w:rsidR="00D014C8" w:rsidRPr="00C6150D">
        <w:t xml:space="preserve"> </w:t>
      </w:r>
      <w:r w:rsidRPr="00C6150D">
        <w:t>percent of the caregivers served by OAA programs report that these services allow them to provide care longer than they otherwise could</w:t>
      </w:r>
      <w:r w:rsidRPr="00EE2A50">
        <w:t>.</w:t>
      </w:r>
      <w:r w:rsidR="00423D0D" w:rsidRPr="00EE2A50">
        <w:rPr>
          <w:vertAlign w:val="superscript"/>
        </w:rPr>
        <w:footnoteReference w:id="87"/>
      </w:r>
      <w:r w:rsidRPr="00EE2A50">
        <w:rPr>
          <w:vertAlign w:val="superscript"/>
        </w:rPr>
        <w:t xml:space="preserve"> </w:t>
      </w:r>
      <w:r w:rsidRPr="00EE2A50">
        <w:t xml:space="preserve">    </w:t>
      </w:r>
    </w:p>
    <w:p w:rsidR="00EE2A50" w:rsidRDefault="00EE2A50" w:rsidP="00EE2A50">
      <w:pPr>
        <w:jc w:val="both"/>
      </w:pPr>
    </w:p>
    <w:p w:rsidR="00504046" w:rsidRPr="00EE2A50" w:rsidRDefault="00504046" w:rsidP="00EE2A50">
      <w:pPr>
        <w:jc w:val="both"/>
      </w:pPr>
      <w:r w:rsidRPr="00EE2A50">
        <w:t xml:space="preserve">At the </w:t>
      </w:r>
      <w:r w:rsidRPr="00FA70B3">
        <w:t>same time, AoA recognizes that it must also address the growing need for more caregivers every day. By 2020, it is p</w:t>
      </w:r>
      <w:r w:rsidR="00C6150D" w:rsidRPr="00FA70B3">
        <w:t xml:space="preserve">rojected that there will be </w:t>
      </w:r>
      <w:r w:rsidR="00EB461B" w:rsidRPr="00FA70B3">
        <w:t xml:space="preserve">16.4 </w:t>
      </w:r>
      <w:r w:rsidRPr="00FA70B3">
        <w:t xml:space="preserve">million </w:t>
      </w:r>
      <w:r w:rsidR="00526576">
        <w:t>older adults living in the community</w:t>
      </w:r>
      <w:r w:rsidR="00C6150D" w:rsidRPr="00FA70B3">
        <w:t xml:space="preserve"> age 65 and over with one or more</w:t>
      </w:r>
      <w:r w:rsidRPr="00FA70B3">
        <w:t xml:space="preserve"> ADL </w:t>
      </w:r>
      <w:r w:rsidR="00C6150D" w:rsidRPr="00FA70B3">
        <w:t>limitations</w:t>
      </w:r>
      <w:r w:rsidRPr="00FA70B3">
        <w:t xml:space="preserve">, an increase of </w:t>
      </w:r>
      <w:r w:rsidR="00EB461B" w:rsidRPr="00FA70B3">
        <w:t>2.5</w:t>
      </w:r>
      <w:r w:rsidRPr="00FA70B3">
        <w:t xml:space="preserve"> million seniors (or a</w:t>
      </w:r>
      <w:r w:rsidR="007303CB">
        <w:t>n</w:t>
      </w:r>
      <w:r w:rsidRPr="00FA70B3">
        <w:t xml:space="preserve"> </w:t>
      </w:r>
      <w:r w:rsidR="00EB461B" w:rsidRPr="00FA70B3">
        <w:t>18</w:t>
      </w:r>
      <w:r w:rsidR="000C2CCF" w:rsidRPr="00FA70B3">
        <w:t> </w:t>
      </w:r>
      <w:r w:rsidRPr="00FA70B3">
        <w:t>percent</w:t>
      </w:r>
      <w:r w:rsidR="00E54EEA" w:rsidRPr="00FA70B3">
        <w:t xml:space="preserve"> increase</w:t>
      </w:r>
      <w:r w:rsidRPr="00FA70B3">
        <w:t xml:space="preserve"> between </w:t>
      </w:r>
      <w:r w:rsidR="00907A1E" w:rsidRPr="00FA70B3">
        <w:t>201</w:t>
      </w:r>
      <w:r w:rsidR="00EB461B" w:rsidRPr="00FA70B3">
        <w:t>5</w:t>
      </w:r>
      <w:r w:rsidRPr="00FA70B3">
        <w:t xml:space="preserve"> and 2020) needing caregiver assistance.</w:t>
      </w:r>
      <w:r w:rsidR="00423D0D" w:rsidRPr="00FA70B3">
        <w:rPr>
          <w:vertAlign w:val="superscript"/>
        </w:rPr>
        <w:footnoteReference w:id="88"/>
      </w:r>
      <w:r w:rsidRPr="00EE2A50">
        <w:rPr>
          <w:vertAlign w:val="superscript"/>
        </w:rPr>
        <w:t xml:space="preserve">  </w:t>
      </w:r>
    </w:p>
    <w:bookmarkEnd w:id="22"/>
    <w:bookmarkEnd w:id="23"/>
    <w:p w:rsidR="00773AAA" w:rsidRDefault="00773AAA" w:rsidP="003B25D9">
      <w:pPr>
        <w:rPr>
          <w:szCs w:val="28"/>
        </w:rPr>
      </w:pPr>
    </w:p>
    <w:p w:rsidR="004B1A60" w:rsidRPr="00C17C9E" w:rsidRDefault="004B1A60" w:rsidP="00EB7718">
      <w:pPr>
        <w:pStyle w:val="Heading2"/>
      </w:pPr>
      <w:bookmarkStart w:id="24" w:name="_Toc436738877"/>
      <w:r w:rsidRPr="00F40F7D">
        <w:t>National Family Caregiver Support Program</w:t>
      </w:r>
      <w:bookmarkEnd w:id="24"/>
    </w:p>
    <w:p w:rsidR="004B1A60" w:rsidRPr="00AD5B58" w:rsidRDefault="00E54EEA" w:rsidP="00EE2A50">
      <w:pPr>
        <w:keepNext/>
        <w:pBdr>
          <w:top w:val="single" w:sz="6" w:space="0" w:color="FFFFFF"/>
          <w:left w:val="single" w:sz="6" w:space="0" w:color="FFFFFF"/>
          <w:bottom w:val="single" w:sz="6" w:space="0" w:color="FFFFFF"/>
          <w:right w:val="single" w:sz="6" w:space="0" w:color="FFFFFF"/>
        </w:pBdr>
        <w:jc w:val="center"/>
        <w:rPr>
          <w:b/>
          <w:i/>
        </w:rPr>
      </w:pPr>
      <w:r w:rsidRPr="00AD5B58">
        <w:rPr>
          <w:b/>
          <w:i/>
        </w:rPr>
        <w:t>(Title III-E of OAA; FY 201</w:t>
      </w:r>
      <w:r w:rsidR="00D763C8">
        <w:rPr>
          <w:b/>
          <w:i/>
        </w:rPr>
        <w:t>5</w:t>
      </w:r>
      <w:r w:rsidRPr="00AD5B58">
        <w:rPr>
          <w:b/>
          <w:i/>
        </w:rPr>
        <w:t>: $145,586,000)</w:t>
      </w:r>
    </w:p>
    <w:p w:rsidR="00E54EEA" w:rsidRPr="00E54EEA" w:rsidRDefault="00E54EEA" w:rsidP="00E54EEA">
      <w:pPr>
        <w:pBdr>
          <w:top w:val="single" w:sz="6" w:space="0" w:color="FFFFFF"/>
          <w:left w:val="single" w:sz="6" w:space="0" w:color="FFFFFF"/>
          <w:bottom w:val="single" w:sz="6" w:space="0" w:color="FFFFFF"/>
          <w:right w:val="single" w:sz="6" w:space="0" w:color="FFFFFF"/>
        </w:pBdr>
        <w:jc w:val="center"/>
        <w:rPr>
          <w:b/>
        </w:rPr>
      </w:pPr>
    </w:p>
    <w:p w:rsidR="004B1A60" w:rsidRDefault="004B1A60" w:rsidP="004B1A60">
      <w:pPr>
        <w:pBdr>
          <w:top w:val="single" w:sz="6" w:space="0" w:color="FFFFFF"/>
          <w:left w:val="single" w:sz="6" w:space="0" w:color="FFFFFF"/>
          <w:bottom w:val="single" w:sz="6" w:space="0" w:color="FFFFFF"/>
          <w:right w:val="single" w:sz="6" w:space="0" w:color="FFFFFF"/>
        </w:pBdr>
        <w:jc w:val="both"/>
      </w:pPr>
      <w:r>
        <w:t xml:space="preserve">The National Family Caregiver Support Program (NFCSP) </w:t>
      </w:r>
      <w:r>
        <w:rPr>
          <w:iCs/>
        </w:rPr>
        <w:t>provides</w:t>
      </w:r>
      <w:r>
        <w:t xml:space="preserve"> grants to states and territories, based on their share of the population age 70 and over, to fund a range of supports that assist family and informal caregivers to care for their </w:t>
      </w:r>
      <w:r w:rsidR="00526576">
        <w:t>family member</w:t>
      </w:r>
      <w:r>
        <w:t xml:space="preserve"> at home for as long as possible.  The </w:t>
      </w:r>
      <w:r w:rsidR="00D915B6">
        <w:t>NFCSP</w:t>
      </w:r>
      <w:r>
        <w:t xml:space="preserve"> includes five basic system components: information</w:t>
      </w:r>
      <w:r w:rsidR="000C2CCF">
        <w:t xml:space="preserve">, </w:t>
      </w:r>
      <w:r>
        <w:t>access assistance</w:t>
      </w:r>
      <w:r w:rsidR="000C2CCF">
        <w:t xml:space="preserve">, </w:t>
      </w:r>
      <w:r>
        <w:t>counseling and training</w:t>
      </w:r>
      <w:r w:rsidR="000C2CCF">
        <w:t xml:space="preserve">, </w:t>
      </w:r>
      <w:r>
        <w:t>respite care</w:t>
      </w:r>
      <w:r w:rsidR="000C2CCF">
        <w:t xml:space="preserve">, </w:t>
      </w:r>
      <w:r>
        <w:t xml:space="preserve">and supplemental services. These services work in conjunction with other OAA services </w:t>
      </w:r>
      <w:r w:rsidR="000C2CCF">
        <w:t>–</w:t>
      </w:r>
      <w:r>
        <w:t xml:space="preserve"> including transportation services, homemaker services, home-delivered meals, and adult day care </w:t>
      </w:r>
      <w:r w:rsidR="000C2CCF">
        <w:t>–</w:t>
      </w:r>
      <w:r>
        <w:t xml:space="preserve"> to provide a coordinated set of supports for </w:t>
      </w:r>
      <w:r w:rsidR="00BF44D3">
        <w:t>older individuals</w:t>
      </w:r>
      <w:r>
        <w:t xml:space="preserve"> which caregivers can access on their behalf.</w:t>
      </w:r>
    </w:p>
    <w:p w:rsidR="004B1A60" w:rsidRDefault="004B1A60" w:rsidP="004B1A60">
      <w:pPr>
        <w:pBdr>
          <w:top w:val="single" w:sz="6" w:space="0" w:color="FFFFFF"/>
          <w:left w:val="single" w:sz="6" w:space="0" w:color="FFFFFF"/>
          <w:bottom w:val="single" w:sz="6" w:space="0" w:color="FFFFFF"/>
          <w:right w:val="single" w:sz="6" w:space="0" w:color="FFFFFF"/>
        </w:pBdr>
        <w:jc w:val="both"/>
      </w:pPr>
    </w:p>
    <w:p w:rsidR="004B1A60" w:rsidRPr="00C34C6C" w:rsidRDefault="004B1A60" w:rsidP="004B1A60">
      <w:pPr>
        <w:jc w:val="both"/>
      </w:pPr>
      <w:r w:rsidRPr="00C34C6C">
        <w:t>The NFCSP provides a variety of supports to f</w:t>
      </w:r>
      <w:r w:rsidR="007303CB">
        <w:t xml:space="preserve">amily and informal caregivers. </w:t>
      </w:r>
      <w:r w:rsidRPr="00C34C6C">
        <w:t xml:space="preserve">In </w:t>
      </w:r>
      <w:r w:rsidR="00535B95" w:rsidRPr="00C34C6C">
        <w:t xml:space="preserve">FY </w:t>
      </w:r>
      <w:r w:rsidR="005D352A">
        <w:t>2015</w:t>
      </w:r>
      <w:r w:rsidRPr="00C34C6C">
        <w:t>, services provided included:</w:t>
      </w:r>
      <w:r w:rsidR="00535B95" w:rsidRPr="00C34C6C">
        <w:rPr>
          <w:rStyle w:val="FootnoteReference"/>
        </w:rPr>
        <w:footnoteReference w:id="89"/>
      </w:r>
      <w:r w:rsidRPr="00C34C6C">
        <w:t xml:space="preserve"> </w:t>
      </w:r>
    </w:p>
    <w:p w:rsidR="004B1A60" w:rsidRPr="00C34C6C" w:rsidRDefault="004B1A60" w:rsidP="004B1A60">
      <w:pPr>
        <w:jc w:val="both"/>
      </w:pPr>
    </w:p>
    <w:p w:rsidR="00BF44D3" w:rsidRPr="00FA70B3" w:rsidRDefault="004B1A60" w:rsidP="00595E01">
      <w:pPr>
        <w:pStyle w:val="ListParagraph"/>
        <w:numPr>
          <w:ilvl w:val="0"/>
          <w:numId w:val="26"/>
        </w:numPr>
        <w:jc w:val="both"/>
      </w:pPr>
      <w:r w:rsidRPr="00595E01">
        <w:rPr>
          <w:i/>
        </w:rPr>
        <w:t>Access Assistance Services</w:t>
      </w:r>
      <w:r w:rsidR="00B11832" w:rsidRPr="00FA70B3">
        <w:t>, which</w:t>
      </w:r>
      <w:r w:rsidRPr="00FA70B3">
        <w:t xml:space="preserve"> provided </w:t>
      </w:r>
      <w:r w:rsidR="00A57692" w:rsidRPr="00FA70B3">
        <w:t>over 1.1</w:t>
      </w:r>
      <w:r w:rsidRPr="00FA70B3">
        <w:t xml:space="preserve"> million contacts to caregivers assisting them in locating services from a variety of public and private agencies.</w:t>
      </w:r>
    </w:p>
    <w:p w:rsidR="00BF44D3" w:rsidRPr="00FA70B3" w:rsidRDefault="00BF44D3" w:rsidP="00BF44D3">
      <w:pPr>
        <w:jc w:val="both"/>
      </w:pPr>
    </w:p>
    <w:p w:rsidR="00BF44D3" w:rsidRPr="00FA70B3" w:rsidRDefault="004B1A60" w:rsidP="00595E01">
      <w:pPr>
        <w:pStyle w:val="ListParagraph"/>
        <w:numPr>
          <w:ilvl w:val="0"/>
          <w:numId w:val="26"/>
        </w:numPr>
        <w:pBdr>
          <w:top w:val="single" w:sz="6" w:space="0" w:color="FFFFFF"/>
          <w:left w:val="single" w:sz="6" w:space="0" w:color="FFFFFF"/>
          <w:bottom w:val="single" w:sz="6" w:space="0" w:color="FFFFFF"/>
          <w:right w:val="single" w:sz="6" w:space="0" w:color="FFFFFF"/>
        </w:pBdr>
        <w:jc w:val="both"/>
      </w:pPr>
      <w:r w:rsidRPr="00595E01">
        <w:rPr>
          <w:i/>
        </w:rPr>
        <w:t>Counseling and Training Services</w:t>
      </w:r>
      <w:r w:rsidR="00B11832" w:rsidRPr="00FA70B3">
        <w:t>, which</w:t>
      </w:r>
      <w:r w:rsidRPr="00FA70B3">
        <w:t xml:space="preserve"> provided </w:t>
      </w:r>
      <w:r w:rsidR="00C45556" w:rsidRPr="00FA70B3">
        <w:t xml:space="preserve">over </w:t>
      </w:r>
      <w:r w:rsidR="00A57692" w:rsidRPr="00FA70B3">
        <w:t>116,000</w:t>
      </w:r>
      <w:r w:rsidR="00BF44D3" w:rsidRPr="00FA70B3">
        <w:t xml:space="preserve"> </w:t>
      </w:r>
      <w:r w:rsidRPr="00FA70B3">
        <w:t>caregivers with counseling, peer support groups, and training to help them better cope with the stresses of caregiving.</w:t>
      </w:r>
    </w:p>
    <w:p w:rsidR="00BF44D3" w:rsidRPr="00FA70B3" w:rsidRDefault="00BF44D3" w:rsidP="00BF44D3">
      <w:pPr>
        <w:pStyle w:val="ListParagraph"/>
        <w:ind w:left="0"/>
        <w:rPr>
          <w:i/>
        </w:rPr>
      </w:pPr>
    </w:p>
    <w:p w:rsidR="004B1A60" w:rsidRPr="00FA70B3" w:rsidRDefault="004B1A60" w:rsidP="00595E01">
      <w:pPr>
        <w:pStyle w:val="ListParagraph"/>
        <w:numPr>
          <w:ilvl w:val="0"/>
          <w:numId w:val="26"/>
        </w:numPr>
        <w:pBdr>
          <w:top w:val="single" w:sz="6" w:space="0" w:color="FFFFFF"/>
          <w:left w:val="single" w:sz="6" w:space="0" w:color="FFFFFF"/>
          <w:bottom w:val="single" w:sz="6" w:space="0" w:color="FFFFFF"/>
          <w:right w:val="single" w:sz="6" w:space="0" w:color="FFFFFF"/>
        </w:pBdr>
        <w:jc w:val="both"/>
      </w:pPr>
      <w:r w:rsidRPr="00595E01">
        <w:rPr>
          <w:i/>
        </w:rPr>
        <w:t xml:space="preserve">Respite Care </w:t>
      </w:r>
      <w:r w:rsidRPr="00FA70B3">
        <w:t>Service</w:t>
      </w:r>
      <w:r w:rsidR="00B11832" w:rsidRPr="00FA70B3">
        <w:t>, which</w:t>
      </w:r>
      <w:r w:rsidRPr="00FA70B3">
        <w:t xml:space="preserve"> provided </w:t>
      </w:r>
      <w:r w:rsidR="00C07071" w:rsidRPr="00FA70B3">
        <w:t>nearly</w:t>
      </w:r>
      <w:r w:rsidR="00BC3A8C" w:rsidRPr="00FA70B3">
        <w:t xml:space="preserve"> </w:t>
      </w:r>
      <w:r w:rsidR="00C07071" w:rsidRPr="00FA70B3">
        <w:t>67</w:t>
      </w:r>
      <w:r w:rsidR="00C45556" w:rsidRPr="00FA70B3">
        <w:t>,000</w:t>
      </w:r>
      <w:r w:rsidRPr="00FA70B3">
        <w:t xml:space="preserve"> caregivers with </w:t>
      </w:r>
      <w:r w:rsidR="00C07071" w:rsidRPr="00FA70B3">
        <w:t>approximately</w:t>
      </w:r>
      <w:r w:rsidR="00C45556" w:rsidRPr="00FA70B3">
        <w:t xml:space="preserve"> 6</w:t>
      </w:r>
      <w:r w:rsidR="00C07071" w:rsidRPr="00FA70B3">
        <w:t>.2</w:t>
      </w:r>
      <w:r w:rsidRPr="00FA70B3">
        <w:t xml:space="preserve"> million hours of temporary relief </w:t>
      </w:r>
      <w:r w:rsidR="000C2CCF" w:rsidRPr="00FA70B3">
        <w:t>–</w:t>
      </w:r>
      <w:r w:rsidRPr="00FA70B3">
        <w:t xml:space="preserve"> at home or in an adult day care or nursing home setting </w:t>
      </w:r>
      <w:r w:rsidR="000C2CCF" w:rsidRPr="00FA70B3">
        <w:t>–</w:t>
      </w:r>
      <w:r w:rsidRPr="00FA70B3">
        <w:t xml:space="preserve"> from their caregiving responsibilities.</w:t>
      </w:r>
      <w:r w:rsidR="00B11832" w:rsidRPr="00FA70B3">
        <w:t xml:space="preserve">  </w:t>
      </w:r>
    </w:p>
    <w:p w:rsidR="00F1615A" w:rsidRDefault="00F1615A" w:rsidP="004B1A60">
      <w:pPr>
        <w:jc w:val="both"/>
      </w:pPr>
    </w:p>
    <w:p w:rsidR="004B1A60" w:rsidRPr="001A27A0" w:rsidRDefault="004B1A60" w:rsidP="004B1A60">
      <w:pPr>
        <w:jc w:val="both"/>
      </w:pPr>
      <w:r w:rsidRPr="00F1615A">
        <w:lastRenderedPageBreak/>
        <w:t>Family and other informal caregivers are the backbone of America’s long-term care system.  On a daily basis, these individuals</w:t>
      </w:r>
      <w:r w:rsidR="00F170FC" w:rsidRPr="00F1615A">
        <w:t>, the majority of whom are women,</w:t>
      </w:r>
      <w:r w:rsidRPr="00F1615A">
        <w:t xml:space="preserve"> assist relatives and other loved ones with tasks ranging from personal care and homemaking to </w:t>
      </w:r>
      <w:r w:rsidR="00AD5B58" w:rsidRPr="00F1615A">
        <w:t xml:space="preserve">more </w:t>
      </w:r>
      <w:r w:rsidRPr="00F1615A">
        <w:t xml:space="preserve">complex health-related interventions like medication administration and wound care.  </w:t>
      </w:r>
      <w:r w:rsidR="007B7698" w:rsidRPr="00F1615A">
        <w:t xml:space="preserve">Data from </w:t>
      </w:r>
      <w:r w:rsidRPr="00F1615A">
        <w:t xml:space="preserve">AoA’s </w:t>
      </w:r>
      <w:r w:rsidR="0055277A">
        <w:t>2015</w:t>
      </w:r>
      <w:r w:rsidR="00BC3A8C" w:rsidRPr="00F1615A">
        <w:t xml:space="preserve"> </w:t>
      </w:r>
      <w:r w:rsidRPr="00F1615A">
        <w:t>Nationa</w:t>
      </w:r>
      <w:r w:rsidR="00F835E3" w:rsidRPr="00F1615A">
        <w:t>l Survey of OAA Participants</w:t>
      </w:r>
      <w:r w:rsidR="007B7698" w:rsidRPr="00F1615A">
        <w:t xml:space="preserve"> show that</w:t>
      </w:r>
      <w:r w:rsidR="00C34C6C" w:rsidRPr="00F1615A">
        <w:t xml:space="preserve"> </w:t>
      </w:r>
      <w:r w:rsidR="0074418B" w:rsidRPr="00F1615A">
        <w:t xml:space="preserve">nearly </w:t>
      </w:r>
      <w:r w:rsidR="00401ECC" w:rsidRPr="00F1615A">
        <w:t>20 </w:t>
      </w:r>
      <w:r w:rsidRPr="00F1615A">
        <w:t xml:space="preserve">percent of caregivers are assisting two or more individuals. </w:t>
      </w:r>
      <w:r w:rsidR="00C07071">
        <w:t xml:space="preserve">Over 70 </w:t>
      </w:r>
      <w:r w:rsidRPr="00F1615A">
        <w:t>percent of Title III caregivers are 60 or older, making them more vulnerable to a decline in their own health</w:t>
      </w:r>
      <w:r w:rsidR="005A659E" w:rsidRPr="00F1615A">
        <w:t xml:space="preserve">, and </w:t>
      </w:r>
      <w:r w:rsidR="00C07071">
        <w:t>29</w:t>
      </w:r>
      <w:r w:rsidR="00401ECC" w:rsidRPr="00F1615A">
        <w:t xml:space="preserve"> </w:t>
      </w:r>
      <w:r w:rsidRPr="00F1615A">
        <w:t>percent describe their own health as fair to poor.</w:t>
      </w:r>
      <w:r w:rsidRPr="00F1615A">
        <w:rPr>
          <w:rStyle w:val="FootnoteReference"/>
        </w:rPr>
        <w:footnoteReference w:id="90"/>
      </w:r>
      <w:r w:rsidRPr="00F1615A">
        <w:t xml:space="preserve"> The demands of caregiving can lead to a breakdown of the caregiver’s health</w:t>
      </w:r>
      <w:r w:rsidR="009A6DF6" w:rsidRPr="00F1615A">
        <w:t>.</w:t>
      </w:r>
      <w:r w:rsidRPr="00F1615A">
        <w:t xml:space="preserve"> </w:t>
      </w:r>
      <w:r w:rsidR="00773AAA" w:rsidRPr="00F1615A">
        <w:t>Nationally, approximately 11 percent of caregivers report that caregiving has caused their physical health to decline.</w:t>
      </w:r>
      <w:r w:rsidR="00773AAA" w:rsidRPr="00F1615A">
        <w:rPr>
          <w:rStyle w:val="FootnoteReference"/>
        </w:rPr>
        <w:footnoteReference w:id="91"/>
      </w:r>
      <w:r w:rsidRPr="00F1615A">
        <w:t xml:space="preserve"> </w:t>
      </w:r>
      <w:r w:rsidR="00AD5B58" w:rsidRPr="00F1615A">
        <w:t>C</w:t>
      </w:r>
      <w:r w:rsidRPr="00F1615A">
        <w:t>aregivers often experience conflicts between work and caregiving.</w:t>
      </w:r>
      <w:r w:rsidR="00773AAA" w:rsidRPr="00F1615A">
        <w:t xml:space="preserve">  Among working caregivers caring for a family member or friend, </w:t>
      </w:r>
      <w:r w:rsidR="00432B8D">
        <w:t>60</w:t>
      </w:r>
      <w:r w:rsidR="00432B8D" w:rsidRPr="00F1615A">
        <w:t xml:space="preserve"> </w:t>
      </w:r>
      <w:r w:rsidR="00773AAA" w:rsidRPr="00F1615A">
        <w:t xml:space="preserve">percent report </w:t>
      </w:r>
      <w:r w:rsidR="00432B8D">
        <w:t xml:space="preserve">work impacts due to caregiving such as </w:t>
      </w:r>
      <w:r w:rsidR="00773AAA" w:rsidRPr="00F1615A">
        <w:t>having to rearrange their work schedule, decrease their hours or take an unpaid leave in order to meet their caregiving responsibilities.</w:t>
      </w:r>
      <w:r w:rsidR="00773AAA" w:rsidRPr="00F1615A">
        <w:rPr>
          <w:rStyle w:val="FootnoteReference"/>
        </w:rPr>
        <w:footnoteReference w:id="92"/>
      </w:r>
    </w:p>
    <w:p w:rsidR="004B1A60" w:rsidRPr="001A27A0" w:rsidRDefault="004B1A60" w:rsidP="004B1A60">
      <w:pPr>
        <w:jc w:val="both"/>
      </w:pPr>
    </w:p>
    <w:p w:rsidR="00DE504F" w:rsidRPr="000003CA" w:rsidRDefault="004B1A60" w:rsidP="000003CA">
      <w:pPr>
        <w:jc w:val="both"/>
      </w:pPr>
      <w:r w:rsidRPr="00D65129">
        <w:t>S</w:t>
      </w:r>
      <w:r w:rsidR="004370C9" w:rsidRPr="00D65129">
        <w:t xml:space="preserve">urvey results </w:t>
      </w:r>
      <w:r w:rsidR="00607227">
        <w:t>from</w:t>
      </w:r>
      <w:r w:rsidR="004370C9" w:rsidRPr="00D65129">
        <w:t xml:space="preserve"> caregivers served by the NFCSP indicate that</w:t>
      </w:r>
      <w:r w:rsidRPr="00D65129">
        <w:t xml:space="preserve"> the types of supports provided through the </w:t>
      </w:r>
      <w:r w:rsidR="00217756" w:rsidRPr="00D65129">
        <w:t xml:space="preserve">NFCSP can </w:t>
      </w:r>
      <w:r w:rsidRPr="00D65129">
        <w:t xml:space="preserve">enable them to provide care longer </w:t>
      </w:r>
      <w:r w:rsidR="004370C9" w:rsidRPr="00D65129">
        <w:t>(</w:t>
      </w:r>
      <w:r w:rsidR="00277D59">
        <w:t>74</w:t>
      </w:r>
      <w:r w:rsidR="00D65129" w:rsidRPr="00D65129">
        <w:t xml:space="preserve"> </w:t>
      </w:r>
      <w:r w:rsidR="004370C9" w:rsidRPr="00D65129">
        <w:t xml:space="preserve">percent) </w:t>
      </w:r>
      <w:r w:rsidRPr="00D65129">
        <w:t>while often continuing to work,</w:t>
      </w:r>
      <w:r w:rsidR="004370C9" w:rsidRPr="00D65129">
        <w:rPr>
          <w:rStyle w:val="FootnoteReference"/>
        </w:rPr>
        <w:footnoteReference w:id="93"/>
      </w:r>
      <w:r w:rsidRPr="000003CA">
        <w:t xml:space="preserve"> thereby avoiding or delaying the need for</w:t>
      </w:r>
      <w:r w:rsidR="00D14E07">
        <w:t xml:space="preserve"> costly</w:t>
      </w:r>
      <w:r w:rsidRPr="000003CA">
        <w:t xml:space="preserve"> institutional care</w:t>
      </w:r>
      <w:r w:rsidR="00D14E07">
        <w:t>,</w:t>
      </w:r>
      <w:r w:rsidR="003E3458">
        <w:t xml:space="preserve"> </w:t>
      </w:r>
      <w:r w:rsidR="00D14E07">
        <w:t>including care financed by government</w:t>
      </w:r>
      <w:r w:rsidRPr="000003CA">
        <w:t xml:space="preserve">. </w:t>
      </w:r>
      <w:r w:rsidR="00DE504F" w:rsidRPr="000003CA">
        <w:t xml:space="preserve"> </w:t>
      </w:r>
      <w:r w:rsidR="004370C9">
        <w:t xml:space="preserve">Additionally, another </w:t>
      </w:r>
      <w:r w:rsidR="00514FC2" w:rsidRPr="000003CA">
        <w:t xml:space="preserve">study </w:t>
      </w:r>
      <w:r w:rsidRPr="000003CA">
        <w:t>indicates that counseling and support for caregivers of individuals with Alzheimer’s disease can permit the care recipient to stay at home at significantly less</w:t>
      </w:r>
      <w:r w:rsidR="00514FC2" w:rsidRPr="000003CA">
        <w:t xml:space="preserve"> cost</w:t>
      </w:r>
      <w:r w:rsidR="00DE504F" w:rsidRPr="000003CA">
        <w:t>, on average,</w:t>
      </w:r>
      <w:r w:rsidR="00514FC2" w:rsidRPr="000003CA">
        <w:t xml:space="preserve"> for</w:t>
      </w:r>
      <w:r w:rsidRPr="000003CA">
        <w:t xml:space="preserve"> an additional year </w:t>
      </w:r>
      <w:r w:rsidR="00514FC2" w:rsidRPr="000003CA">
        <w:t xml:space="preserve">before being admitted </w:t>
      </w:r>
      <w:r w:rsidR="00DE504F" w:rsidRPr="000003CA">
        <w:t xml:space="preserve">to a </w:t>
      </w:r>
      <w:r w:rsidR="00514FC2" w:rsidRPr="000003CA">
        <w:t xml:space="preserve">nursing </w:t>
      </w:r>
      <w:r w:rsidRPr="000003CA">
        <w:t>home.</w:t>
      </w:r>
      <w:r w:rsidR="00514FC2" w:rsidRPr="000003CA">
        <w:rPr>
          <w:rStyle w:val="FootnoteReference"/>
        </w:rPr>
        <w:footnoteReference w:id="94"/>
      </w:r>
      <w:r w:rsidRPr="000003CA">
        <w:br/>
      </w:r>
    </w:p>
    <w:p w:rsidR="004B1A60" w:rsidRPr="00C22A03" w:rsidRDefault="003E3458" w:rsidP="005A659E">
      <w:pPr>
        <w:jc w:val="both"/>
      </w:pPr>
      <w:r>
        <w:t>D</w:t>
      </w:r>
      <w:r w:rsidR="004B1A60" w:rsidRPr="00C22A03">
        <w:t xml:space="preserve">ata from AoA’s national surveys of caregivers of elderly clients also </w:t>
      </w:r>
      <w:r w:rsidR="004370C9">
        <w:t>reveal</w:t>
      </w:r>
      <w:r w:rsidR="004B1A60" w:rsidRPr="00C22A03">
        <w:t xml:space="preserve"> that OAA services, including those provided through </w:t>
      </w:r>
      <w:r w:rsidR="00217756" w:rsidRPr="00C22A03">
        <w:t>the NFCSP</w:t>
      </w:r>
      <w:r w:rsidR="004B1A60" w:rsidRPr="00C22A03">
        <w:t xml:space="preserve">, are effective in helping caregivers </w:t>
      </w:r>
      <w:r w:rsidR="00D14E07">
        <w:t>assist</w:t>
      </w:r>
      <w:r w:rsidR="004B1A60" w:rsidRPr="00C22A03">
        <w:t xml:space="preserve"> their loved ones at home.  </w:t>
      </w:r>
      <w:r w:rsidR="004B1A60" w:rsidRPr="00F1615A">
        <w:t xml:space="preserve">Caregivers receiving services were asked whether the care recipient would have been able to live in the same residence if the services had not been available. </w:t>
      </w:r>
      <w:r w:rsidR="00E9660C" w:rsidRPr="00F1615A">
        <w:t xml:space="preserve">Over </w:t>
      </w:r>
      <w:r w:rsidR="00AD6439" w:rsidRPr="00F1615A">
        <w:t xml:space="preserve">40 </w:t>
      </w:r>
      <w:r w:rsidR="004B1A60" w:rsidRPr="00F1615A">
        <w:t>percent of the caregivers indicated that the care recipient would be unable to remain at home without the support services.</w:t>
      </w:r>
      <w:r w:rsidR="001361A9" w:rsidRPr="00F1615A">
        <w:rPr>
          <w:rStyle w:val="FootnoteReference"/>
        </w:rPr>
        <w:footnoteReference w:id="95"/>
      </w:r>
      <w:r w:rsidR="004B1A60" w:rsidRPr="00F1615A">
        <w:t xml:space="preserve">  Those respondents were then asked to identify where the care recipient would be living without services. A significant </w:t>
      </w:r>
      <w:r w:rsidR="00AD6439" w:rsidRPr="00F1615A">
        <w:t xml:space="preserve">majority of those caregivers, </w:t>
      </w:r>
      <w:r w:rsidR="001361A9" w:rsidRPr="00F1615A">
        <w:t xml:space="preserve">nearly </w:t>
      </w:r>
      <w:r w:rsidR="00607227">
        <w:t>80</w:t>
      </w:r>
      <w:r w:rsidR="001361A9" w:rsidRPr="00F1615A">
        <w:t> </w:t>
      </w:r>
      <w:r w:rsidR="004B1A60" w:rsidRPr="00F1615A">
        <w:t>percent, indicated that the care recipient would most likely be living in a nursing home or</w:t>
      </w:r>
      <w:r w:rsidR="00D14E07">
        <w:t xml:space="preserve"> an</w:t>
      </w:r>
      <w:r w:rsidR="004B1A60" w:rsidRPr="00F1615A">
        <w:t xml:space="preserve"> assisted living</w:t>
      </w:r>
      <w:r w:rsidR="00D14E07">
        <w:t xml:space="preserve"> facility</w:t>
      </w:r>
      <w:r w:rsidR="004B1A60" w:rsidRPr="00F1615A">
        <w:t xml:space="preserve"> (see </w:t>
      </w:r>
      <w:r w:rsidR="00E91261" w:rsidRPr="00F1615A">
        <w:t xml:space="preserve">the </w:t>
      </w:r>
      <w:r w:rsidR="00E07C65" w:rsidRPr="00F1615A">
        <w:t xml:space="preserve">chart </w:t>
      </w:r>
      <w:r w:rsidR="00DF0A1A">
        <w:t>on the next page)</w:t>
      </w:r>
      <w:r w:rsidR="004B1A60" w:rsidRPr="00F1615A">
        <w:t>.</w:t>
      </w:r>
      <w:r w:rsidR="001361A9" w:rsidRPr="00F1615A">
        <w:rPr>
          <w:rStyle w:val="FootnoteReference"/>
        </w:rPr>
        <w:footnoteReference w:id="96"/>
      </w:r>
      <w:r w:rsidR="004B1A60" w:rsidRPr="00C22A03">
        <w:t xml:space="preserve"> </w:t>
      </w:r>
    </w:p>
    <w:p w:rsidR="004B1A60" w:rsidRPr="00C22A03" w:rsidRDefault="00BA6F6B" w:rsidP="004B1A60">
      <w:pPr>
        <w:jc w:val="center"/>
      </w:pPr>
      <w:r>
        <w:rPr>
          <w:noProof/>
        </w:rPr>
        <w:lastRenderedPageBreak/>
        <w:drawing>
          <wp:inline distT="0" distB="0" distL="0" distR="0" wp14:anchorId="31FD7E62" wp14:editId="64E639C9">
            <wp:extent cx="4987636" cy="3396343"/>
            <wp:effectExtent l="304800" t="285750" r="308610" b="337820"/>
            <wp:docPr id="5" name="Chart 5" descr="In a 2015 sample survey of National Family Care Support Program recipients, 61.91 percent indicated that, without the program, they would most likely be living in a nursing home; 18.43 percent reported they would be living in an Assisted Living Facility; 13.96 percent would be living in the home of a family menber, friend or caregiver; 1.26 percent believed they would likely be deceased; and 3.27 percent reported some other outcome.  " title="Where Individuals Would Live if They Did Not Receive Caregiving Program Assist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385F" w:rsidRPr="00C2385F" w:rsidRDefault="00C2385F" w:rsidP="00EB7718">
      <w:pPr>
        <w:pStyle w:val="Heading2"/>
      </w:pPr>
      <w:bookmarkStart w:id="25" w:name="_Toc436738879"/>
      <w:r w:rsidRPr="00C2385F">
        <w:t>Brain Health</w:t>
      </w:r>
      <w:bookmarkEnd w:id="25"/>
    </w:p>
    <w:p w:rsidR="00C2385F" w:rsidRDefault="00C2385F" w:rsidP="00B8647A">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The majority of older adults living in the community do not have problems with cognition; that is, the ability to think, learn, remember, and manage their lives.  Aging can bring some changes in cognition that are normal</w:t>
      </w:r>
      <w:r w:rsidR="006B3962">
        <w:t xml:space="preserve">, which includes </w:t>
      </w:r>
      <w:r>
        <w:t xml:space="preserve">some difficulty finding words, less ability to multi-task, and slight decreases in attentiveness. However, older adults can still learn new things, create new memories, improve vocabulary and language skills and manage their lives. </w:t>
      </w:r>
    </w:p>
    <w:p w:rsidR="00C2385F" w:rsidRDefault="00C2385F" w:rsidP="00B8647A">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 xml:space="preserve">Promoting brain health is critical to helping older adults maintain their cognition, independence and overall health.  </w:t>
      </w:r>
      <w:r w:rsidR="00BF44D3">
        <w:t>A</w:t>
      </w:r>
      <w:r>
        <w:t xml:space="preserve">oA </w:t>
      </w:r>
      <w:r w:rsidR="00B8647A">
        <w:t>works with</w:t>
      </w:r>
      <w:r>
        <w:t xml:space="preserve"> the National Institutes of Health </w:t>
      </w:r>
      <w:r w:rsidR="00BF44D3">
        <w:t xml:space="preserve">(NIH) </w:t>
      </w:r>
      <w:r>
        <w:t>and the Centers for Disease Control and Prevention</w:t>
      </w:r>
      <w:r w:rsidR="00BF44D3">
        <w:t xml:space="preserve"> (CDC)</w:t>
      </w:r>
      <w:r>
        <w:t xml:space="preserve"> to develop</w:t>
      </w:r>
      <w:r w:rsidR="00B8647A">
        <w:t xml:space="preserve"> and maintain</w:t>
      </w:r>
      <w:r>
        <w:t xml:space="preserve"> a </w:t>
      </w:r>
      <w:hyperlink r:id="rId14" w:history="1">
        <w:r w:rsidRPr="004E55F0">
          <w:rPr>
            <w:rStyle w:val="Hyperlink"/>
          </w:rPr>
          <w:t>Brain Health Resource</w:t>
        </w:r>
      </w:hyperlink>
      <w:r w:rsidR="00BE7E25">
        <w:t xml:space="preserve"> (the Resource) </w:t>
      </w:r>
      <w:r>
        <w:t>to promote brain health among older adults, people with disa</w:t>
      </w:r>
      <w:r w:rsidR="004E55F0">
        <w:t>bilities, and their caregivers.</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 xml:space="preserve">The Resource addresses a number of risks to brain health, including: accidents; medication use; smoking and alcohol misuse; health conditions like heart disease and diabetes; poor diet; insufficient sleep; and lack of physical and social activity. For each of these risks the Resource supplies evidence-based information and governmental resources that can help professionals, older adults, and people with disabilities promote brain health. Many of the resources, like AoA’s nutrition, chronic disease self-management education, falls prevention, and medication programs, promote overall health, including brain health. </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 xml:space="preserve">There are three parts to the Brain Health Resource, with more on the way.  Brain Health Basics helps people learn and teach others about the risks related to brain health and how to reduce them.  Brain Injury helps people learn and teach others about how to prevent brain injury and how to get help when someone has one. Dementia explains how to create “dementia-capable” </w:t>
      </w:r>
      <w:r>
        <w:lastRenderedPageBreak/>
        <w:t>long-term services and supports at the state and local levels to help people who have Alzheimer’s disease and other types of dementia and their caregivers.</w:t>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t xml:space="preserve">AoA, NIH, and CDC will continue their collaboration </w:t>
      </w:r>
      <w:r w:rsidR="00B8647A">
        <w:t>on</w:t>
      </w:r>
      <w:r>
        <w:t xml:space="preserve"> the Brain Health Resource over time. This work </w:t>
      </w:r>
      <w:r w:rsidR="00B8647A">
        <w:t>occurs</w:t>
      </w:r>
      <w:r>
        <w:t xml:space="preserve"> under the direction of the </w:t>
      </w:r>
      <w:r w:rsidR="00D14E07">
        <w:t xml:space="preserve">Department of Health and Human Services’ </w:t>
      </w:r>
      <w:r>
        <w:t>National Plan to Address Alzheimer’s Research, Care and Services.</w:t>
      </w:r>
      <w:r w:rsidR="00D14E07">
        <w:rPr>
          <w:rStyle w:val="FootnoteReference"/>
        </w:rPr>
        <w:footnoteReference w:id="97"/>
      </w:r>
    </w:p>
    <w:p w:rsidR="00C2385F" w:rsidRDefault="00C2385F" w:rsidP="005F68B5">
      <w:pPr>
        <w:pBdr>
          <w:top w:val="single" w:sz="6" w:space="19"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B8647A" w:rsidRPr="00B8647A" w:rsidRDefault="00B8647A" w:rsidP="00B8647A">
      <w:pPr>
        <w:keepNext/>
        <w:jc w:val="center"/>
        <w:outlineLvl w:val="1"/>
        <w:rPr>
          <w:b/>
          <w:bCs/>
          <w:iCs/>
          <w:sz w:val="28"/>
          <w:szCs w:val="28"/>
          <w:lang w:bidi="en-US"/>
        </w:rPr>
      </w:pPr>
      <w:r w:rsidRPr="00B8647A">
        <w:rPr>
          <w:b/>
          <w:bCs/>
          <w:iCs/>
          <w:sz w:val="28"/>
          <w:szCs w:val="28"/>
          <w:lang w:bidi="en-US"/>
        </w:rPr>
        <w:t>Alzheimer’s Disease Supportive Services Program (ADSSP)</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b/>
          <w:i/>
        </w:rPr>
      </w:pPr>
      <w:r w:rsidRPr="00B8647A">
        <w:rPr>
          <w:b/>
          <w:i/>
        </w:rPr>
        <w:t>(FY 2015: $3,800,000)</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b/>
          <w:sz w:val="28"/>
          <w:szCs w:val="28"/>
        </w:rPr>
      </w:pPr>
    </w:p>
    <w:p w:rsidR="00D14E07"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 xml:space="preserve">Established under Section 398 of the Public Health Services Act, as amended, (42 U.S.C. 280c-3), the Alzheimer’s Disease Supportive Services Program (ADSSP) funds competitive grants to states to expand the availability of dementia-capable community-level supportive services for persons with Alzheimer’s disease and related dementias (ADRD), their families, and their caregivers. </w:t>
      </w:r>
      <w:r w:rsidR="00D14E07">
        <w:t xml:space="preserve">Alzheimer’s disease is an irreversible, progressive brain disorder that destroys memory and thinking. Symptoms usually appear in a person’s mid-60’s, but they can occur earlier. More than </w:t>
      </w:r>
      <w:r w:rsidR="003E3458">
        <w:t>five</w:t>
      </w:r>
      <w:r w:rsidR="00D14E07">
        <w:t xml:space="preserve"> million Americans may have the disease, and it is ranked as the sixth leading cause of death in the U.S.</w:t>
      </w:r>
    </w:p>
    <w:p w:rsidR="00D14E07" w:rsidRDefault="00D14E07"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 xml:space="preserve">In its effort to improve home and community-based services for persons with ADRD, AoA presently focuses its ADSSP resources toward building systems within states that are designed to ensure access to sustainable, integrated long-term services and supports that are capable of meeting the needs of persons with ADRD and their caregivers, as well as to improve the responsiveness of home and community-based services systems to persons with dementia. The primary components of the ADSSP program includes delivery of evidence-based supportive services; translating and replicating evidence-based interventions, at the community level, for persons with dementia and their caregivers; and advancing changes to a state’s overall system of home and community-based care.  </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sz w:val="28"/>
          <w:szCs w:val="28"/>
          <w:highlight w:val="yellow"/>
        </w:rPr>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ADSSP expands the aging services network’s capacity to assist those with ADRD and their families through provision of individualized and public information, education, and referrals for diagnostic, treatment and related services; as well as sources of assistance for services and legal rights assistance for people affected by dementia throughout a state’s long-term services and support system.</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highlight w:val="yellow"/>
        </w:rPr>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 xml:space="preserve">The most recent ADSSP grant projects are designed to ensure that states provide people with ADRD and their family caregivers with access to a sustainable home and community-based services system that is </w:t>
      </w:r>
      <w:r w:rsidR="00D14E07">
        <w:t>“</w:t>
      </w:r>
      <w:r w:rsidRPr="00B8647A">
        <w:t>dementia capable.</w:t>
      </w:r>
      <w:r w:rsidR="00D14E07">
        <w:t>”</w:t>
      </w:r>
      <w:r w:rsidRPr="00B8647A">
        <w:t xml:space="preserve"> Such a system meets the unique needs of each person with ADRD by: 1) identifying those with a possible dementia and recommending follow-up with a physician; 2) ensuring that the staff they encounter have appropriate training, understand the unique needs/services available and knowing how to communicate with them; and 3) providing quality, person-centered services that help them remain independent and safe in their communities. Presently, there are 18 states implementing grants dedicated to the development of dementia-capable systems.  </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sz w:val="28"/>
          <w:szCs w:val="28"/>
          <w:highlight w:val="yellow"/>
        </w:rPr>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lastRenderedPageBreak/>
        <w:t xml:space="preserve">Through projects funded both in new ADSSP grant projects and those remaining from earlier program designs, states continue to translate and implement dementia-specific evidence-based interventions into practice. Overall, these demonstration programs offer direct services and other supports to thousands of </w:t>
      </w:r>
      <w:r w:rsidR="00D14E07">
        <w:t xml:space="preserve">individuals and </w:t>
      </w:r>
      <w:r w:rsidRPr="00B8647A">
        <w:t xml:space="preserve">families, as well as supporting continuous quality improvement and evaluation of </w:t>
      </w:r>
      <w:r w:rsidR="00D14E07">
        <w:t>HCBS</w:t>
      </w:r>
      <w:r w:rsidRPr="00B8647A">
        <w:t xml:space="preserve">. </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 xml:space="preserve">Family caregivers remain the major source of support for most people with ADRD and, as such, they access a variety of services from many different systems including the aging, medical, and mental health service systems. As the number of people living with ADRD grows, it is increasingly important to ensure the availability of dementia-capable </w:t>
      </w:r>
      <w:r w:rsidR="00D14E07">
        <w:t>HCBS</w:t>
      </w:r>
      <w:r w:rsidRPr="00B8647A">
        <w:t xml:space="preserve">. These important services, and the systems through which they are delivered, must be efficient and effectively coordinated.  The ADSSP program provides states the opportunity and resources to develop the necessary dementia-capable systems and direct services in support of persons living with ADRD and their caregivers. These </w:t>
      </w:r>
      <w:r w:rsidR="00D14E07">
        <w:t>cost-effective</w:t>
      </w:r>
      <w:r w:rsidRPr="00B8647A">
        <w:t xml:space="preserve"> services and supports enhance the effectiveness of service delivery and health care systems in response to the needs of</w:t>
      </w:r>
      <w:r w:rsidR="00D14E07">
        <w:t xml:space="preserve"> many </w:t>
      </w:r>
      <w:r w:rsidRPr="00B8647A">
        <w:t xml:space="preserve">persons with dementia and their caregivers. </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b/>
          <w:sz w:val="28"/>
          <w:szCs w:val="28"/>
        </w:rPr>
      </w:pPr>
    </w:p>
    <w:p w:rsidR="00B8647A" w:rsidRPr="00B8647A" w:rsidRDefault="00B8647A" w:rsidP="00B8647A">
      <w:pPr>
        <w:keepNext/>
        <w:jc w:val="center"/>
        <w:outlineLvl w:val="1"/>
        <w:rPr>
          <w:b/>
          <w:bCs/>
          <w:iCs/>
          <w:sz w:val="28"/>
          <w:szCs w:val="28"/>
          <w:lang w:bidi="en-US"/>
        </w:rPr>
      </w:pPr>
      <w:r w:rsidRPr="00B8647A">
        <w:rPr>
          <w:b/>
          <w:bCs/>
          <w:iCs/>
          <w:sz w:val="28"/>
          <w:szCs w:val="28"/>
          <w:lang w:bidi="en-US"/>
        </w:rPr>
        <w:t>Alzheimer’s Disease Initiative – Specialized Supportive Services (ADI-SSS)</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b/>
          <w:i/>
        </w:rPr>
      </w:pPr>
      <w:r w:rsidRPr="00B8647A">
        <w:rPr>
          <w:b/>
          <w:i/>
        </w:rPr>
        <w:t>(FY 2015 - $10,500,000)</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 xml:space="preserve">In FY 2015, ACL received resources from the Prevention and Public Health Funds (PPHF-2015) within the Patient Protection and Affordable Care Act (PPACA) to fund cooperative agreements designed to fill identified gaps in long-term services and supports (LTSS) services for persons living with ADRD and their caregivers. The program is open to states and community-based entities that are operating within an existing dementia-capable system through which persons with ADRD and their caregivers receive quality, person-centered services that help them remain independent and safe in their communities.  </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The existing gaps targeted through the ADI-SSS program align with the recommendations of the National Alzheimer’s Project Act Advisory Committee and include the following areas:</w:t>
      </w:r>
    </w:p>
    <w:p w:rsidR="00B8647A" w:rsidRPr="00B8647A" w:rsidRDefault="00B8647A" w:rsidP="00595E01">
      <w:pPr>
        <w:pStyle w:val="ListParagraph"/>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Provision of effective supportive services to persons living alone with ADRD in the community.</w:t>
      </w:r>
    </w:p>
    <w:p w:rsidR="00B8647A" w:rsidRPr="00B8647A" w:rsidRDefault="00B8647A" w:rsidP="00595E01">
      <w:pPr>
        <w:pStyle w:val="ListParagraph"/>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Provision of effective care/supportive services to persons living with moderate to severe impairment from ADRD and their caregivers.</w:t>
      </w:r>
    </w:p>
    <w:p w:rsidR="00B8647A" w:rsidRPr="00B8647A" w:rsidRDefault="00B8647A" w:rsidP="00595E01">
      <w:pPr>
        <w:pStyle w:val="ListParagraph"/>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Improvement of the quality and effectiveness of programs and services dedicated to individuals aging with intellectual and developmental disabilities</w:t>
      </w:r>
      <w:r w:rsidR="0059205B">
        <w:t xml:space="preserve"> associated</w:t>
      </w:r>
      <w:r w:rsidRPr="00B8647A">
        <w:t xml:space="preserve"> with ADRD or those at high risk of developing ADRD.</w:t>
      </w:r>
    </w:p>
    <w:p w:rsidR="00B8647A" w:rsidRPr="00B8647A" w:rsidRDefault="00B8647A" w:rsidP="00595E01">
      <w:pPr>
        <w:pStyle w:val="ListParagraph"/>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Delivery of behavioral symptom management training and expert consultation for family caregivers.</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All grantees are required to implement programs that contain components addressing a minimum of three of the four above referenced gaps.</w:t>
      </w: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B8647A" w:rsidRPr="00B8647A" w:rsidRDefault="00B8647A" w:rsidP="00B8647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B8647A">
        <w:t>In FY 2015, eleven unique organizations received ADI-SSS program awards, joining the ten organizations funded in FY 2014.  The FY 2015 program recipients will implement programs tailored to address the unique needs of the communities they serve</w:t>
      </w:r>
      <w:r w:rsidR="006D6659">
        <w:t>,</w:t>
      </w:r>
      <w:r w:rsidRPr="00B8647A">
        <w:t xml:space="preserve"> which include states and local governments, a health system and several community-based organizations.  Each of the funded programs, which have demonstrated dementia capability, meet the requirement for the implementation of at least one dementia related evidence-based intervention, dedicate a substantial percentage of program resources to the provision of direct services and 25</w:t>
      </w:r>
      <w:r w:rsidR="006D6659">
        <w:t xml:space="preserve"> percent</w:t>
      </w:r>
      <w:r w:rsidRPr="00B8647A">
        <w:t xml:space="preserve"> </w:t>
      </w:r>
      <w:r w:rsidRPr="00B8647A">
        <w:lastRenderedPageBreak/>
        <w:t>cost</w:t>
      </w:r>
      <w:r w:rsidR="006D6659">
        <w:t>-</w:t>
      </w:r>
      <w:r w:rsidRPr="00B8647A">
        <w:t>sharing through</w:t>
      </w:r>
      <w:r w:rsidR="006D6659">
        <w:t xml:space="preserve"> either in-kind or cash match. </w:t>
      </w:r>
      <w:r w:rsidR="00991836">
        <w:t xml:space="preserve"> T</w:t>
      </w:r>
      <w:r w:rsidRPr="00B8647A">
        <w:t>hrough targeted partnerships and community engagement, grantees are able to implement a broad range of services and supports to persons with ADRD and their caregivers.  Examples of program activities include, but are not limited to, support programs dedicated to both persons with dementia and their caregivers, behavioral symptom management training, dementia capable care coordination training, as well as development of dementia capable community initiatives which include awareness training for a broad range of community workers and first responders.</w:t>
      </w:r>
    </w:p>
    <w:p w:rsidR="001837D1" w:rsidRPr="001837D1"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r w:rsidRPr="002E0BCD">
        <w:t>.</w:t>
      </w:r>
    </w:p>
    <w:p w:rsidR="001837D1" w:rsidRPr="001837D1" w:rsidRDefault="001837D1" w:rsidP="001837D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pPr>
    </w:p>
    <w:p w:rsidR="00AD0670" w:rsidRDefault="00614CE3" w:rsidP="003B25D9">
      <w:pPr>
        <w:pStyle w:val="Heading1"/>
        <w:rPr>
          <w:szCs w:val="28"/>
        </w:rPr>
      </w:pPr>
      <w:r>
        <w:br w:type="page"/>
      </w:r>
      <w:bookmarkStart w:id="26" w:name="_Toc436738882"/>
      <w:r w:rsidR="00B372C0" w:rsidRPr="002E0BCD">
        <w:rPr>
          <w:szCs w:val="28"/>
        </w:rPr>
        <w:lastRenderedPageBreak/>
        <w:t>PART II: OLDER AMERICAN INDIANS, ALASKA NATIVES</w:t>
      </w:r>
      <w:r w:rsidR="00197212" w:rsidRPr="002E0BCD">
        <w:rPr>
          <w:szCs w:val="28"/>
        </w:rPr>
        <w:t xml:space="preserve"> </w:t>
      </w:r>
    </w:p>
    <w:p w:rsidR="00B372C0" w:rsidRPr="002E0BCD" w:rsidRDefault="00B372C0" w:rsidP="003B25D9">
      <w:pPr>
        <w:pStyle w:val="Heading1"/>
        <w:rPr>
          <w:szCs w:val="28"/>
        </w:rPr>
      </w:pPr>
      <w:r w:rsidRPr="002E0BCD">
        <w:rPr>
          <w:szCs w:val="28"/>
        </w:rPr>
        <w:t>&amp; NATIVE HAWAIIANS</w:t>
      </w:r>
      <w:bookmarkEnd w:id="26"/>
    </w:p>
    <w:p w:rsidR="000F79B6" w:rsidRDefault="000F79B6" w:rsidP="003B25D9">
      <w:pPr>
        <w:pStyle w:val="Default"/>
        <w:contextualSpacing/>
        <w:jc w:val="center"/>
        <w:outlineLvl w:val="1"/>
        <w:rPr>
          <w:b/>
          <w:color w:val="auto"/>
          <w:sz w:val="28"/>
          <w:szCs w:val="28"/>
        </w:rPr>
      </w:pPr>
      <w:bookmarkStart w:id="27" w:name="_Toc436738883"/>
    </w:p>
    <w:p w:rsidR="00B372C0" w:rsidRPr="0082390B" w:rsidRDefault="00B372C0" w:rsidP="003B25D9">
      <w:pPr>
        <w:pStyle w:val="Default"/>
        <w:contextualSpacing/>
        <w:jc w:val="center"/>
        <w:outlineLvl w:val="1"/>
        <w:rPr>
          <w:b/>
          <w:color w:val="auto"/>
          <w:sz w:val="28"/>
          <w:szCs w:val="28"/>
        </w:rPr>
      </w:pPr>
      <w:r w:rsidRPr="0082390B">
        <w:rPr>
          <w:b/>
          <w:color w:val="auto"/>
          <w:sz w:val="28"/>
          <w:szCs w:val="28"/>
        </w:rPr>
        <w:t>Nutrition and Supportive Services</w:t>
      </w:r>
      <w:bookmarkEnd w:id="27"/>
    </w:p>
    <w:p w:rsidR="00A65A3D" w:rsidRPr="00FD3BC1" w:rsidRDefault="00A65A3D" w:rsidP="00A65A3D">
      <w:pPr>
        <w:pBdr>
          <w:top w:val="single" w:sz="6" w:space="0" w:color="FFFFFF"/>
          <w:left w:val="single" w:sz="6" w:space="0" w:color="FFFFFF"/>
          <w:bottom w:val="single" w:sz="6" w:space="0" w:color="FFFFFF"/>
          <w:right w:val="single" w:sz="6" w:space="0" w:color="FFFFFF"/>
        </w:pBdr>
        <w:jc w:val="center"/>
        <w:rPr>
          <w:b/>
          <w:bCs/>
          <w:i/>
        </w:rPr>
      </w:pPr>
      <w:r w:rsidRPr="00FD3BC1">
        <w:rPr>
          <w:b/>
          <w:bCs/>
          <w:i/>
        </w:rPr>
        <w:t>(FY 201</w:t>
      </w:r>
      <w:r w:rsidR="00190D79">
        <w:rPr>
          <w:b/>
          <w:bCs/>
          <w:i/>
        </w:rPr>
        <w:t>5</w:t>
      </w:r>
      <w:r w:rsidRPr="00FD3BC1">
        <w:rPr>
          <w:b/>
          <w:bCs/>
          <w:i/>
        </w:rPr>
        <w:t>: $</w:t>
      </w:r>
      <w:r w:rsidR="00BF4948" w:rsidRPr="00BF4948">
        <w:rPr>
          <w:b/>
          <w:bCs/>
          <w:i/>
        </w:rPr>
        <w:t>26,158,000)</w:t>
      </w:r>
    </w:p>
    <w:p w:rsidR="00B372C0" w:rsidRPr="00FD3BC1" w:rsidRDefault="00B372C0" w:rsidP="00B372C0">
      <w:pPr>
        <w:contextualSpacing/>
        <w:jc w:val="both"/>
      </w:pPr>
    </w:p>
    <w:p w:rsidR="00A227A6" w:rsidRPr="00A57692" w:rsidRDefault="00B372C0" w:rsidP="00A227A6">
      <w:pPr>
        <w:contextualSpacing/>
        <w:jc w:val="both"/>
      </w:pPr>
      <w:r w:rsidRPr="00FD3BC1">
        <w:t xml:space="preserve">Native American Nutrition and </w:t>
      </w:r>
      <w:r w:rsidRPr="00FA70B3">
        <w:t xml:space="preserve">Supportive Services provides grants to eligible tribal organizations </w:t>
      </w:r>
      <w:r w:rsidR="008D011A" w:rsidRPr="00FA70B3">
        <w:t>for</w:t>
      </w:r>
      <w:r w:rsidRPr="00FA70B3">
        <w:t xml:space="preserve"> the delivery of nutrition and home and community-based supportive services to Native American, Alaska Native, and Native Hawaiian elders. </w:t>
      </w:r>
      <w:r w:rsidR="005B1F0A" w:rsidRPr="00FA70B3">
        <w:t xml:space="preserve">An estimated </w:t>
      </w:r>
      <w:r w:rsidR="005C1339" w:rsidRPr="00FA70B3">
        <w:t>849,000</w:t>
      </w:r>
      <w:r w:rsidR="008B41EF" w:rsidRPr="00FA70B3">
        <w:t xml:space="preserve"> persons age 60 and over identify themselves as Native American or Alaska Native alone or in combination with another racial group.</w:t>
      </w:r>
      <w:r w:rsidR="008B41EF" w:rsidRPr="00FA70B3">
        <w:rPr>
          <w:rStyle w:val="FootnoteReference"/>
        </w:rPr>
        <w:footnoteReference w:id="98"/>
      </w:r>
      <w:r w:rsidR="00907A1E" w:rsidRPr="00FA70B3">
        <w:t xml:space="preserve">  Over </w:t>
      </w:r>
      <w:r w:rsidR="005C1339" w:rsidRPr="00FA70B3">
        <w:t>492,000</w:t>
      </w:r>
      <w:r w:rsidR="008B41EF" w:rsidRPr="00FA70B3">
        <w:t xml:space="preserve"> of those elders identify as Native American or Alaska Native with no other racial group</w:t>
      </w:r>
      <w:r w:rsidR="002E0BCD" w:rsidRPr="00FA70B3">
        <w:t>.</w:t>
      </w:r>
      <w:r w:rsidR="008B41EF" w:rsidRPr="00FA70B3">
        <w:rPr>
          <w:rStyle w:val="FootnoteReference"/>
        </w:rPr>
        <w:footnoteReference w:id="99"/>
      </w:r>
      <w:r w:rsidR="008B41EF" w:rsidRPr="00A57692">
        <w:t xml:space="preserve"> </w:t>
      </w:r>
    </w:p>
    <w:p w:rsidR="00A227A6" w:rsidRPr="00FD3BC1" w:rsidRDefault="00A227A6" w:rsidP="00A227A6">
      <w:pPr>
        <w:contextualSpacing/>
        <w:jc w:val="both"/>
      </w:pPr>
    </w:p>
    <w:p w:rsidR="00A227A6" w:rsidRPr="00FD3BC1" w:rsidRDefault="00A227A6" w:rsidP="00A227A6">
      <w:pPr>
        <w:contextualSpacing/>
        <w:jc w:val="both"/>
      </w:pPr>
      <w:r w:rsidRPr="00FD3BC1">
        <w:t>In the United States, the number of adults aged 65 years or older increased by 14.8</w:t>
      </w:r>
      <w:r w:rsidR="001837D1">
        <w:t xml:space="preserve"> percent </w:t>
      </w:r>
      <w:r w:rsidRPr="00FD3BC1">
        <w:t xml:space="preserve">(5.2 </w:t>
      </w:r>
    </w:p>
    <w:p w:rsidR="00A227A6" w:rsidRPr="00FD3BC1" w:rsidRDefault="00A227A6" w:rsidP="00A227A6">
      <w:pPr>
        <w:contextualSpacing/>
        <w:jc w:val="both"/>
      </w:pPr>
      <w:r w:rsidRPr="00FD3BC1">
        <w:t>million) between 2000 and 2010. This growth of the overall older adult population is also evident in Indian Country.  Between 2000 and 2010, the number of older American Indian and Alaska Native (AI/AN) adults increased by 40.5</w:t>
      </w:r>
      <w:r w:rsidR="002E0BCD">
        <w:t xml:space="preserve"> percent</w:t>
      </w:r>
      <w:r w:rsidRPr="00FD3BC1">
        <w:t>, a growth that is 2.7 times greater than that of the overall population of older adults over the same 10-year period.</w:t>
      </w:r>
      <w:r w:rsidRPr="00FD3BC1">
        <w:rPr>
          <w:rStyle w:val="FootnoteReference"/>
        </w:rPr>
        <w:footnoteReference w:id="100"/>
      </w:r>
      <w:r w:rsidRPr="00FD3BC1">
        <w:t xml:space="preserve"> In addition, this rapidly growing population is also experiencing some of the highest rates of disability,</w:t>
      </w:r>
      <w:r w:rsidRPr="00FD3BC1">
        <w:rPr>
          <w:rStyle w:val="FootnoteReference"/>
        </w:rPr>
        <w:footnoteReference w:id="101"/>
      </w:r>
      <w:r w:rsidRPr="00FD3BC1">
        <w:t xml:space="preserve"> chronic disease, and poverty</w:t>
      </w:r>
      <w:r w:rsidRPr="00FD3BC1">
        <w:rPr>
          <w:rStyle w:val="FootnoteReference"/>
        </w:rPr>
        <w:footnoteReference w:id="102"/>
      </w:r>
      <w:r w:rsidRPr="00FD3BC1">
        <w:t xml:space="preserve"> in the United States. Because of the combined factors of an aging population and high disability rates, AI/ANs have a great need for </w:t>
      </w:r>
      <w:r w:rsidR="00D14E07">
        <w:t>home and community-based services</w:t>
      </w:r>
      <w:r w:rsidRPr="00FD3BC1">
        <w:t xml:space="preserve"> access in their communities.</w:t>
      </w:r>
    </w:p>
    <w:p w:rsidR="00A227A6" w:rsidRPr="00FD3BC1" w:rsidRDefault="00A227A6" w:rsidP="00A227A6">
      <w:pPr>
        <w:contextualSpacing/>
        <w:jc w:val="both"/>
      </w:pPr>
    </w:p>
    <w:p w:rsidR="00B372C0" w:rsidRPr="0024723D" w:rsidRDefault="00B372C0" w:rsidP="00B372C0">
      <w:pPr>
        <w:contextualSpacing/>
        <w:jc w:val="both"/>
      </w:pPr>
      <w:r w:rsidRPr="00AE3A85">
        <w:t xml:space="preserve">Native American Nutrition and Supportive Services grants support a broad range of services to older Native Americans, including adult day care, transportation, congregate and home-delivered meals, information and referral, personal care, </w:t>
      </w:r>
      <w:r w:rsidR="00321725" w:rsidRPr="00AE3A85">
        <w:t xml:space="preserve">help with </w:t>
      </w:r>
      <w:r w:rsidRPr="00AE3A85">
        <w:t>chore</w:t>
      </w:r>
      <w:r w:rsidR="00321725" w:rsidRPr="00AE3A85">
        <w:t>s</w:t>
      </w:r>
      <w:r w:rsidRPr="00AE3A85">
        <w:t xml:space="preserve">, and other services. </w:t>
      </w:r>
      <w:r w:rsidR="00415F60" w:rsidRPr="00AE3A85">
        <w:t>Currently, AoA’s congregate meal</w:t>
      </w:r>
      <w:r w:rsidR="00991836">
        <w:t>s</w:t>
      </w:r>
      <w:r w:rsidR="00415F60" w:rsidRPr="00AE3A85">
        <w:t xml:space="preserve"> program reaches </w:t>
      </w:r>
      <w:r w:rsidR="00544787">
        <w:t>more than one-quarter (28</w:t>
      </w:r>
      <w:r w:rsidR="002E0BCD">
        <w:t xml:space="preserve"> percent</w:t>
      </w:r>
      <w:r w:rsidR="00477C3F">
        <w:t>)</w:t>
      </w:r>
      <w:r w:rsidR="00477C3F" w:rsidRPr="00AE3A85">
        <w:t xml:space="preserve"> </w:t>
      </w:r>
      <w:r w:rsidR="00415F60" w:rsidRPr="00AE3A85">
        <w:t xml:space="preserve">of eligible Native American seniors in participating tribal organizations, home-delivered meals reach </w:t>
      </w:r>
      <w:r w:rsidR="00544787">
        <w:t>20</w:t>
      </w:r>
      <w:r w:rsidR="00477C3F" w:rsidRPr="00AE3A85">
        <w:t> </w:t>
      </w:r>
      <w:r w:rsidR="00415F60" w:rsidRPr="00AE3A85">
        <w:t xml:space="preserve">percent of such persons, and supportive services reach </w:t>
      </w:r>
      <w:r w:rsidR="00544787">
        <w:t>46</w:t>
      </w:r>
      <w:r w:rsidR="00477C3F" w:rsidRPr="0024723D">
        <w:t> </w:t>
      </w:r>
      <w:r w:rsidR="00415F60" w:rsidRPr="0024723D">
        <w:t>percent of such persons.</w:t>
      </w:r>
      <w:r w:rsidR="00415F60" w:rsidRPr="0024723D">
        <w:rPr>
          <w:rStyle w:val="FootnoteReference"/>
        </w:rPr>
        <w:footnoteReference w:id="103"/>
      </w:r>
      <w:r w:rsidR="00415F60" w:rsidRPr="0024723D">
        <w:t xml:space="preserve"> T</w:t>
      </w:r>
      <w:r w:rsidRPr="0024723D">
        <w:t xml:space="preserve">hese programs, which </w:t>
      </w:r>
      <w:r w:rsidR="00321725" w:rsidRPr="0024723D">
        <w:t xml:space="preserve">can </w:t>
      </w:r>
      <w:r w:rsidRPr="0024723D">
        <w:t xml:space="preserve">help to reduce the need for </w:t>
      </w:r>
      <w:r w:rsidR="008D011A" w:rsidRPr="0024723D">
        <w:t xml:space="preserve">costly </w:t>
      </w:r>
      <w:r w:rsidRPr="0024723D">
        <w:t xml:space="preserve">nursing home care and medical interventions, are responsive to the cultural diversity of Native American communities and </w:t>
      </w:r>
      <w:r w:rsidR="008D011A" w:rsidRPr="0024723D">
        <w:t>are</w:t>
      </w:r>
      <w:r w:rsidRPr="0024723D">
        <w:t xml:space="preserve"> an important part of each community’s comprehensive services.  </w:t>
      </w:r>
    </w:p>
    <w:p w:rsidR="00B372C0" w:rsidRPr="0024723D" w:rsidRDefault="00B372C0" w:rsidP="00B372C0">
      <w:pPr>
        <w:contextualSpacing/>
        <w:jc w:val="both"/>
      </w:pPr>
    </w:p>
    <w:p w:rsidR="000F79B6" w:rsidRDefault="000F79B6" w:rsidP="008D011A">
      <w:pPr>
        <w:contextualSpacing/>
        <w:jc w:val="both"/>
      </w:pPr>
    </w:p>
    <w:p w:rsidR="000F79B6" w:rsidRDefault="000F79B6" w:rsidP="008D011A">
      <w:pPr>
        <w:contextualSpacing/>
        <w:jc w:val="both"/>
      </w:pPr>
    </w:p>
    <w:p w:rsidR="000F79B6" w:rsidRDefault="000F79B6" w:rsidP="008D011A">
      <w:pPr>
        <w:contextualSpacing/>
        <w:jc w:val="both"/>
      </w:pPr>
    </w:p>
    <w:p w:rsidR="00415F60" w:rsidRPr="0024723D" w:rsidRDefault="00B372C0" w:rsidP="008D011A">
      <w:pPr>
        <w:contextualSpacing/>
        <w:jc w:val="both"/>
      </w:pPr>
      <w:r w:rsidRPr="0024723D">
        <w:lastRenderedPageBreak/>
        <w:t>Services provided by this program in FY 201</w:t>
      </w:r>
      <w:r w:rsidR="000F79B6">
        <w:t>5</w:t>
      </w:r>
      <w:r w:rsidRPr="0024723D">
        <w:t xml:space="preserve"> include</w:t>
      </w:r>
      <w:r w:rsidR="00991836">
        <w:t>d</w:t>
      </w:r>
      <w:r w:rsidRPr="0024723D">
        <w:t>:</w:t>
      </w:r>
      <w:r w:rsidRPr="0024723D">
        <w:rPr>
          <w:rStyle w:val="FootnoteReference"/>
        </w:rPr>
        <w:footnoteReference w:id="104"/>
      </w:r>
      <w:r w:rsidRPr="0024723D">
        <w:t xml:space="preserve">  </w:t>
      </w:r>
    </w:p>
    <w:p w:rsidR="00415F60" w:rsidRPr="0024723D" w:rsidRDefault="00415F60" w:rsidP="008D011A">
      <w:pPr>
        <w:contextualSpacing/>
        <w:jc w:val="both"/>
      </w:pPr>
    </w:p>
    <w:p w:rsidR="00B372C0" w:rsidRPr="0024723D" w:rsidRDefault="00415F60" w:rsidP="00307727">
      <w:pPr>
        <w:pStyle w:val="ListParagraph"/>
        <w:numPr>
          <w:ilvl w:val="0"/>
          <w:numId w:val="28"/>
        </w:numPr>
        <w:jc w:val="both"/>
      </w:pPr>
      <w:r w:rsidRPr="00307727">
        <w:rPr>
          <w:i/>
        </w:rPr>
        <w:t>Transportation Services</w:t>
      </w:r>
      <w:r w:rsidRPr="0024723D">
        <w:t xml:space="preserve">, which provided over </w:t>
      </w:r>
      <w:r w:rsidR="00562296">
        <w:t>7</w:t>
      </w:r>
      <w:r w:rsidR="007474A2">
        <w:t>5</w:t>
      </w:r>
      <w:r w:rsidR="00562296">
        <w:t>0</w:t>
      </w:r>
      <w:r w:rsidR="007474A2">
        <w:t>,000</w:t>
      </w:r>
      <w:r w:rsidR="00BF4948" w:rsidRPr="00BF4948">
        <w:t xml:space="preserve"> </w:t>
      </w:r>
      <w:r w:rsidRPr="0024723D">
        <w:t xml:space="preserve">rides </w:t>
      </w:r>
      <w:r w:rsidR="00B372C0" w:rsidRPr="0024723D">
        <w:t>to meal sites, medical appointments, pharmacies, grocery stores, and other critical activities.</w:t>
      </w:r>
    </w:p>
    <w:p w:rsidR="00B372C0" w:rsidRPr="0024723D" w:rsidRDefault="00B372C0" w:rsidP="00B372C0">
      <w:pPr>
        <w:contextualSpacing/>
        <w:jc w:val="both"/>
      </w:pPr>
    </w:p>
    <w:p w:rsidR="00B372C0" w:rsidRPr="0024723D" w:rsidRDefault="00415F60" w:rsidP="00307727">
      <w:pPr>
        <w:pStyle w:val="ListParagraph"/>
        <w:numPr>
          <w:ilvl w:val="0"/>
          <w:numId w:val="28"/>
        </w:numPr>
        <w:jc w:val="both"/>
      </w:pPr>
      <w:r w:rsidRPr="00307727">
        <w:rPr>
          <w:i/>
        </w:rPr>
        <w:t xml:space="preserve">Home-Delivered Nutrition Services, </w:t>
      </w:r>
      <w:r w:rsidRPr="0024723D">
        <w:t xml:space="preserve">under which </w:t>
      </w:r>
      <w:r w:rsidR="00562296">
        <w:t>over 2.6</w:t>
      </w:r>
      <w:r w:rsidRPr="0024723D">
        <w:t xml:space="preserve"> million meals were provided to </w:t>
      </w:r>
      <w:r w:rsidR="00B75EC2">
        <w:t>over</w:t>
      </w:r>
      <w:r w:rsidR="00B75EC2" w:rsidRPr="0024723D">
        <w:t xml:space="preserve"> </w:t>
      </w:r>
      <w:r w:rsidR="00562296">
        <w:t>42</w:t>
      </w:r>
      <w:r w:rsidR="007474A2">
        <w:t>,000</w:t>
      </w:r>
      <w:r w:rsidRPr="0024723D">
        <w:t xml:space="preserve"> homebound </w:t>
      </w:r>
      <w:r w:rsidR="00B372C0" w:rsidRPr="0024723D">
        <w:t>Native American elders; the program also provide</w:t>
      </w:r>
      <w:r w:rsidR="002E0BCD">
        <w:t>s</w:t>
      </w:r>
      <w:r w:rsidR="00B372C0" w:rsidRPr="0024723D">
        <w:t xml:space="preserve"> critical social contacts that help to reduce the risk of depression and isolation experienced by many home-bound Native American elders.</w:t>
      </w:r>
    </w:p>
    <w:p w:rsidR="00B372C0" w:rsidRPr="0024723D" w:rsidRDefault="00B372C0" w:rsidP="00B372C0">
      <w:pPr>
        <w:contextualSpacing/>
        <w:jc w:val="both"/>
      </w:pPr>
    </w:p>
    <w:p w:rsidR="00B372C0" w:rsidRPr="0024723D" w:rsidRDefault="00415F60" w:rsidP="00307727">
      <w:pPr>
        <w:pStyle w:val="ListParagraph"/>
        <w:numPr>
          <w:ilvl w:val="0"/>
          <w:numId w:val="28"/>
        </w:numPr>
        <w:jc w:val="both"/>
      </w:pPr>
      <w:r w:rsidRPr="00307727">
        <w:rPr>
          <w:i/>
        </w:rPr>
        <w:t>Congregate Nutrition Services</w:t>
      </w:r>
      <w:r w:rsidR="0024723D" w:rsidRPr="0024723D">
        <w:t>, which provided</w:t>
      </w:r>
      <w:r w:rsidR="00BF4948">
        <w:t xml:space="preserve"> </w:t>
      </w:r>
      <w:r w:rsidR="00562296">
        <w:t>over 2.5</w:t>
      </w:r>
      <w:r w:rsidRPr="0024723D">
        <w:t xml:space="preserve"> million meals to</w:t>
      </w:r>
      <w:r w:rsidR="00BF4948">
        <w:t xml:space="preserve"> </w:t>
      </w:r>
      <w:r w:rsidR="00B75EC2">
        <w:t>over</w:t>
      </w:r>
      <w:r w:rsidR="00B75EC2" w:rsidRPr="0024723D">
        <w:t xml:space="preserve"> </w:t>
      </w:r>
      <w:r w:rsidR="00562296">
        <w:t>60</w:t>
      </w:r>
      <w:r w:rsidR="007474A2">
        <w:t>,000</w:t>
      </w:r>
      <w:r w:rsidRPr="0024723D">
        <w:t> Native American elders in com</w:t>
      </w:r>
      <w:r w:rsidR="00B372C0" w:rsidRPr="0024723D">
        <w:t>munity-based settings, as well as an opportunity for elders to socialize and participate in a variety of activities, including cultural and wellness programs.</w:t>
      </w:r>
    </w:p>
    <w:p w:rsidR="00B372C0" w:rsidRPr="0024723D" w:rsidRDefault="00B372C0" w:rsidP="00B372C0">
      <w:pPr>
        <w:contextualSpacing/>
        <w:jc w:val="both"/>
      </w:pPr>
    </w:p>
    <w:p w:rsidR="00B372C0" w:rsidRPr="0024723D" w:rsidRDefault="00415F60" w:rsidP="00307727">
      <w:pPr>
        <w:pStyle w:val="ListParagraph"/>
        <w:numPr>
          <w:ilvl w:val="0"/>
          <w:numId w:val="28"/>
        </w:numPr>
        <w:jc w:val="both"/>
      </w:pPr>
      <w:r w:rsidRPr="00307727">
        <w:rPr>
          <w:i/>
        </w:rPr>
        <w:t>Information, Referral and Outreach Services</w:t>
      </w:r>
      <w:r w:rsidRPr="0024723D">
        <w:t xml:space="preserve">, which provided over </w:t>
      </w:r>
      <w:r w:rsidR="00562296">
        <w:t>90</w:t>
      </w:r>
      <w:r w:rsidR="007474A2">
        <w:t>0,000</w:t>
      </w:r>
      <w:r w:rsidR="00AE3A85">
        <w:t xml:space="preserve"> hours</w:t>
      </w:r>
      <w:r w:rsidRPr="0024723D">
        <w:t xml:space="preserve"> of </w:t>
      </w:r>
      <w:r w:rsidR="00B372C0" w:rsidRPr="0024723D">
        <w:t>outreach and information on services and programs to Native American elders and their families, thereby empowering them to make informed choices about their service and care needs.</w:t>
      </w:r>
    </w:p>
    <w:p w:rsidR="00415F60" w:rsidRPr="0024723D" w:rsidRDefault="00415F60" w:rsidP="00415F60">
      <w:pPr>
        <w:contextualSpacing/>
        <w:jc w:val="both"/>
      </w:pPr>
    </w:p>
    <w:p w:rsidR="00B372C0" w:rsidRPr="0024723D" w:rsidRDefault="00B372C0" w:rsidP="00B372C0">
      <w:pPr>
        <w:contextualSpacing/>
        <w:jc w:val="both"/>
      </w:pPr>
      <w:r w:rsidRPr="0024723D">
        <w:t xml:space="preserve">The Native American Nutrition and Supportive Services program also provides training and technical assistance to tribal organizations to support the development of comprehensive and coordinated systems of services to meet the needs of Native American elders. </w:t>
      </w:r>
      <w:r w:rsidRPr="0024723D">
        <w:rPr>
          <w:spacing w:val="2"/>
        </w:rPr>
        <w:t>Training and technical assistance is provided through national meetings, site visits, e-newsletters, telephone and written consultations, and through the Native American Resource Centers (funded under Aging Network Support Activities</w:t>
      </w:r>
      <w:r w:rsidRPr="0024723D">
        <w:t>).</w:t>
      </w:r>
    </w:p>
    <w:p w:rsidR="00B372C0" w:rsidRPr="0024723D" w:rsidRDefault="00B372C0" w:rsidP="00B372C0">
      <w:pPr>
        <w:contextualSpacing/>
        <w:jc w:val="both"/>
      </w:pPr>
    </w:p>
    <w:p w:rsidR="00B372C0" w:rsidRPr="0024723D" w:rsidRDefault="00B372C0" w:rsidP="00B372C0">
      <w:pPr>
        <w:contextualSpacing/>
        <w:jc w:val="both"/>
      </w:pPr>
      <w:r w:rsidRPr="0024723D">
        <w:t xml:space="preserve">Eligible tribal organizations receive nutrition and supportive services formula grants based on their share of the American Indian, Alaska Native, and Native Hawaiian population age 60 and over. Tribal organizations must represent at least 50 Native American elders age 60 and over to receive funding. There is no requirement for matching funds.  In addition, tribes may decide the age at which a member is considered an elder and thus eligible for services.  </w:t>
      </w:r>
    </w:p>
    <w:p w:rsidR="00B372C0" w:rsidRPr="0024723D" w:rsidRDefault="00B372C0" w:rsidP="00B372C0">
      <w:pPr>
        <w:contextualSpacing/>
        <w:jc w:val="both"/>
        <w:rPr>
          <w:u w:val="single"/>
        </w:rPr>
      </w:pPr>
    </w:p>
    <w:p w:rsidR="00B372C0" w:rsidRPr="0082390B" w:rsidRDefault="00B372C0" w:rsidP="00EB7718">
      <w:pPr>
        <w:pStyle w:val="Heading2"/>
      </w:pPr>
      <w:bookmarkStart w:id="28" w:name="_Toc436738884"/>
      <w:r w:rsidRPr="0082390B">
        <w:t>Caregiver Support Services</w:t>
      </w:r>
      <w:bookmarkEnd w:id="28"/>
    </w:p>
    <w:p w:rsidR="00A65A3D" w:rsidRPr="004C4286" w:rsidRDefault="00A65A3D" w:rsidP="00A65A3D">
      <w:pPr>
        <w:pBdr>
          <w:top w:val="single" w:sz="6" w:space="0" w:color="FFFFFF"/>
          <w:left w:val="single" w:sz="6" w:space="0" w:color="FFFFFF"/>
          <w:bottom w:val="single" w:sz="6" w:space="0" w:color="FFFFFF"/>
          <w:right w:val="single" w:sz="6" w:space="0" w:color="FFFFFF"/>
        </w:pBdr>
        <w:jc w:val="center"/>
        <w:rPr>
          <w:b/>
          <w:bCs/>
          <w:i/>
        </w:rPr>
      </w:pPr>
      <w:r w:rsidRPr="004C4286">
        <w:rPr>
          <w:b/>
          <w:bCs/>
          <w:i/>
        </w:rPr>
        <w:t>(FY 201</w:t>
      </w:r>
      <w:r w:rsidR="00190D79">
        <w:rPr>
          <w:b/>
          <w:bCs/>
          <w:i/>
        </w:rPr>
        <w:t>5</w:t>
      </w:r>
      <w:r w:rsidRPr="004C4286">
        <w:rPr>
          <w:b/>
          <w:bCs/>
          <w:i/>
        </w:rPr>
        <w:t>: $6</w:t>
      </w:r>
      <w:r w:rsidR="005A659E" w:rsidRPr="004C4286">
        <w:rPr>
          <w:b/>
          <w:bCs/>
          <w:i/>
        </w:rPr>
        <w:t>,0</w:t>
      </w:r>
      <w:r w:rsidR="00353358" w:rsidRPr="004C4286">
        <w:rPr>
          <w:b/>
          <w:bCs/>
          <w:i/>
        </w:rPr>
        <w:t>3</w:t>
      </w:r>
      <w:r w:rsidR="005A659E" w:rsidRPr="004C4286">
        <w:rPr>
          <w:b/>
          <w:bCs/>
          <w:i/>
        </w:rPr>
        <w:t>1</w:t>
      </w:r>
      <w:r w:rsidRPr="004C4286">
        <w:rPr>
          <w:b/>
          <w:bCs/>
          <w:i/>
        </w:rPr>
        <w:t>,000)</w:t>
      </w:r>
    </w:p>
    <w:p w:rsidR="00B372C0" w:rsidRPr="00AE3A85" w:rsidRDefault="00B372C0" w:rsidP="00B372C0">
      <w:pPr>
        <w:contextualSpacing/>
        <w:jc w:val="both"/>
      </w:pPr>
    </w:p>
    <w:p w:rsidR="00B372C0" w:rsidRPr="00AE3A85" w:rsidRDefault="00B372C0" w:rsidP="00B372C0">
      <w:pPr>
        <w:contextualSpacing/>
        <w:jc w:val="both"/>
        <w:rPr>
          <w:spacing w:val="2"/>
        </w:rPr>
      </w:pPr>
      <w:r w:rsidRPr="00AE3A85">
        <w:t xml:space="preserve">Native American Caregiver Support Services provide grants to eligible tribal organizations to provide support for family and informal caregivers of Native American, Alaska Native and Native Hawaiian elders.  This program, which </w:t>
      </w:r>
      <w:r w:rsidR="00693AC3">
        <w:t xml:space="preserve">also </w:t>
      </w:r>
      <w:r w:rsidRPr="00AE3A85">
        <w:t>helps to reduce the need for costly nursing home care and medical interventions, is responsive to the cultural diversity of Native American communities and represent</w:t>
      </w:r>
      <w:r w:rsidR="008D011A" w:rsidRPr="00AE3A85">
        <w:t>s</w:t>
      </w:r>
      <w:r w:rsidRPr="00AE3A85">
        <w:t xml:space="preserve"> an important part of each community’s comprehensive services. </w:t>
      </w:r>
    </w:p>
    <w:p w:rsidR="00B372C0" w:rsidRPr="00AE3A85" w:rsidRDefault="00B372C0" w:rsidP="00B372C0">
      <w:pPr>
        <w:contextualSpacing/>
        <w:jc w:val="both"/>
      </w:pPr>
    </w:p>
    <w:p w:rsidR="00B372C0" w:rsidRPr="00AE3A85" w:rsidRDefault="00B372C0" w:rsidP="00B372C0">
      <w:pPr>
        <w:contextualSpacing/>
        <w:jc w:val="both"/>
      </w:pPr>
      <w:r w:rsidRPr="00AE3A85">
        <w:t xml:space="preserve">Native American Caregiver Support Services funding is allocated to eligible tribal organizations based on their share of the American Indian, Alaska Native, and Native Hawaiian population aged 60 and over. Tribal organizations must represent at least 50 Native American elders age 60 and over and be receiving a grant under Title VI Part A or B to receive funding. There is no requirement for matching funds. Tribes may also decide the age at which a member is considered </w:t>
      </w:r>
      <w:r w:rsidRPr="00AE3A85">
        <w:lastRenderedPageBreak/>
        <w:t xml:space="preserve">an elder and thus eligible for services. In addition, there is no limit on the percentage of funds that can be used for services to grandparents caring for grandchildren.  </w:t>
      </w:r>
    </w:p>
    <w:p w:rsidR="00B372C0" w:rsidRPr="00AE3A85" w:rsidRDefault="00B372C0" w:rsidP="00B372C0">
      <w:pPr>
        <w:contextualSpacing/>
        <w:jc w:val="both"/>
        <w:rPr>
          <w:b/>
        </w:rPr>
      </w:pPr>
    </w:p>
    <w:p w:rsidR="00B372C0" w:rsidRPr="00AE3A85" w:rsidRDefault="00B372C0" w:rsidP="00B372C0">
      <w:pPr>
        <w:contextualSpacing/>
        <w:jc w:val="both"/>
        <w:rPr>
          <w:spacing w:val="-2"/>
        </w:rPr>
      </w:pPr>
      <w:r w:rsidRPr="00AE3A85">
        <w:t xml:space="preserve">Grants assist American Indian, Alaska Native and Native Hawaiian families caring for older relatives with chronic illness or disability and grandparents caring for grandchildren. The program provides a variety of direct services that meet a range of caregiver needs, including information and outreach, access assistance, individual counseling, support groups and training, respite care, and other supplemental services. </w:t>
      </w:r>
      <w:r w:rsidR="00ED7E41">
        <w:t>Annually, t</w:t>
      </w:r>
      <w:r w:rsidR="00455309">
        <w:t xml:space="preserve">ribal </w:t>
      </w:r>
      <w:r w:rsidR="00455309" w:rsidRPr="00F1615A">
        <w:t xml:space="preserve">grantees provide over </w:t>
      </w:r>
      <w:r w:rsidR="00B3240E" w:rsidRPr="00F1615A">
        <w:t>80,000</w:t>
      </w:r>
      <w:r w:rsidR="00455309" w:rsidRPr="00F1615A">
        <w:t xml:space="preserve"> hours of respite care, </w:t>
      </w:r>
      <w:r w:rsidR="00B3240E" w:rsidRPr="00F1615A">
        <w:t>just over 15,000</w:t>
      </w:r>
      <w:r w:rsidR="00455309" w:rsidRPr="00F1615A">
        <w:t xml:space="preserve"> hours of caregiver training, and assisted </w:t>
      </w:r>
      <w:r w:rsidR="00B42E21">
        <w:t>nearly 2</w:t>
      </w:r>
      <w:r w:rsidR="006A0F07" w:rsidRPr="00F1615A">
        <w:t>0,000</w:t>
      </w:r>
      <w:r w:rsidR="00455309" w:rsidRPr="00F1615A">
        <w:t xml:space="preserve"> caregivers to access needed services</w:t>
      </w:r>
      <w:r w:rsidR="00254EEB" w:rsidRPr="00F1615A">
        <w:t>.</w:t>
      </w:r>
      <w:r w:rsidR="00455309" w:rsidRPr="00F1615A">
        <w:rPr>
          <w:rStyle w:val="FootnoteReference"/>
        </w:rPr>
        <w:footnoteReference w:id="105"/>
      </w:r>
      <w:r w:rsidR="00455309" w:rsidRPr="00F1615A">
        <w:t xml:space="preserve"> </w:t>
      </w:r>
      <w:r w:rsidRPr="00F1615A">
        <w:t>Tribal organizations coordinate with other programs, including the Volunteers In Service To America (VISTA) program</w:t>
      </w:r>
      <w:r w:rsidRPr="00AE3A85">
        <w:t xml:space="preserve">, to help support and create sustainable caregiver programs in Native American communities (many of which are geographically isolated). </w:t>
      </w:r>
      <w:r w:rsidRPr="00AE3A85">
        <w:rPr>
          <w:spacing w:val="-2"/>
        </w:rPr>
        <w:t xml:space="preserve">A core value of the Native American Caregiver Support Services, as expressed by tribal leaders, is that the program should not replace the tradition of families caring for their elders. Rather, it provides support that strengthens the family caregiver role. </w:t>
      </w:r>
    </w:p>
    <w:p w:rsidR="00FB1981" w:rsidRPr="006A097D" w:rsidRDefault="00321725" w:rsidP="006A097D">
      <w:pPr>
        <w:keepNext/>
        <w:spacing w:after="60"/>
        <w:jc w:val="center"/>
        <w:outlineLvl w:val="0"/>
        <w:rPr>
          <w:rFonts w:cs="Arial"/>
          <w:b/>
          <w:bCs/>
          <w:kern w:val="32"/>
          <w:sz w:val="28"/>
          <w:szCs w:val="28"/>
        </w:rPr>
      </w:pPr>
      <w:r w:rsidRPr="00AE3A85">
        <w:rPr>
          <w:spacing w:val="-2"/>
        </w:rPr>
        <w:br w:type="page"/>
      </w:r>
      <w:bookmarkStart w:id="29" w:name="_Toc303606077"/>
      <w:bookmarkStart w:id="30" w:name="_Toc316405578"/>
      <w:bookmarkStart w:id="31" w:name="_Toc436738885"/>
      <w:bookmarkStart w:id="32" w:name="_Toc436738894"/>
      <w:bookmarkStart w:id="33" w:name="_Toc303606081"/>
      <w:bookmarkStart w:id="34" w:name="_Toc316405582"/>
      <w:r w:rsidR="00FB1981" w:rsidRPr="006A097D">
        <w:rPr>
          <w:rFonts w:cs="Arial"/>
          <w:b/>
          <w:bCs/>
          <w:kern w:val="32"/>
          <w:sz w:val="28"/>
          <w:szCs w:val="28"/>
        </w:rPr>
        <w:lastRenderedPageBreak/>
        <w:t xml:space="preserve">PART III: </w:t>
      </w:r>
      <w:bookmarkEnd w:id="29"/>
      <w:bookmarkEnd w:id="30"/>
      <w:bookmarkEnd w:id="31"/>
      <w:r w:rsidR="006A097D" w:rsidRPr="006A097D">
        <w:rPr>
          <w:rFonts w:cs="Arial"/>
          <w:b/>
          <w:bCs/>
          <w:kern w:val="32"/>
          <w:sz w:val="28"/>
          <w:szCs w:val="28"/>
        </w:rPr>
        <w:t>ELDER RIGHTS</w:t>
      </w:r>
    </w:p>
    <w:p w:rsidR="00FB1981" w:rsidRPr="006A097D" w:rsidRDefault="00FB1981" w:rsidP="006A097D">
      <w:pPr>
        <w:contextualSpacing/>
        <w:jc w:val="center"/>
        <w:rPr>
          <w:b/>
        </w:rPr>
      </w:pPr>
    </w:p>
    <w:p w:rsidR="006A097D" w:rsidRDefault="008705D2" w:rsidP="006A097D">
      <w:pPr>
        <w:contextualSpacing/>
        <w:jc w:val="both"/>
      </w:pPr>
      <w:r>
        <w:t>AoA</w:t>
      </w:r>
      <w:r w:rsidR="006A097D" w:rsidRPr="006A097D">
        <w:t xml:space="preserve"> works to promote the rights of older adults through several distinct but complementary programs. Among other things, these programs provide a full array of services designed to prevent, detect, and respond to elder abuse, neglect, and exploitation, both at home and in institutional settings.  </w:t>
      </w:r>
    </w:p>
    <w:p w:rsidR="00597608" w:rsidRDefault="00597608" w:rsidP="00FB1981">
      <w:pPr>
        <w:keepNext/>
        <w:jc w:val="center"/>
        <w:outlineLvl w:val="1"/>
        <w:rPr>
          <w:b/>
          <w:bCs/>
          <w:iCs/>
          <w:sz w:val="28"/>
          <w:szCs w:val="28"/>
          <w:lang w:bidi="en-US"/>
        </w:rPr>
      </w:pPr>
      <w:bookmarkStart w:id="35" w:name="_Toc294712691"/>
      <w:bookmarkStart w:id="36" w:name="_Toc316405581"/>
      <w:bookmarkStart w:id="37" w:name="_Toc436738886"/>
    </w:p>
    <w:p w:rsidR="00FB1981" w:rsidRPr="00FB1981" w:rsidRDefault="00FB1981" w:rsidP="00FB1981">
      <w:pPr>
        <w:keepNext/>
        <w:jc w:val="center"/>
        <w:outlineLvl w:val="1"/>
        <w:rPr>
          <w:b/>
          <w:bCs/>
          <w:iCs/>
          <w:sz w:val="28"/>
          <w:szCs w:val="28"/>
          <w:lang w:bidi="en-US"/>
        </w:rPr>
      </w:pPr>
      <w:r w:rsidRPr="00FB1981">
        <w:rPr>
          <w:b/>
          <w:bCs/>
          <w:iCs/>
          <w:sz w:val="28"/>
          <w:szCs w:val="28"/>
          <w:lang w:bidi="en-US"/>
        </w:rPr>
        <w:t>Prevention of Elder Abuse and Neglect</w:t>
      </w:r>
      <w:bookmarkEnd w:id="35"/>
      <w:bookmarkEnd w:id="36"/>
      <w:bookmarkEnd w:id="37"/>
    </w:p>
    <w:p w:rsidR="00FB1981" w:rsidRPr="00FB1981" w:rsidRDefault="00FB1981" w:rsidP="00FB1981">
      <w:pPr>
        <w:jc w:val="center"/>
        <w:rPr>
          <w:b/>
          <w:i/>
        </w:rPr>
      </w:pPr>
      <w:r w:rsidRPr="00FB1981">
        <w:rPr>
          <w:b/>
          <w:i/>
        </w:rPr>
        <w:t>(FY 2015: $4,7</w:t>
      </w:r>
      <w:r w:rsidR="00984E3B">
        <w:rPr>
          <w:b/>
          <w:i/>
        </w:rPr>
        <w:t>73</w:t>
      </w:r>
      <w:r w:rsidRPr="00FB1981">
        <w:rPr>
          <w:b/>
          <w:i/>
        </w:rPr>
        <w:t>,</w:t>
      </w:r>
      <w:r w:rsidR="00984E3B">
        <w:rPr>
          <w:b/>
          <w:i/>
        </w:rPr>
        <w:t>000</w:t>
      </w:r>
      <w:r w:rsidRPr="00FB1981">
        <w:rPr>
          <w:b/>
          <w:i/>
        </w:rPr>
        <w:t>)</w:t>
      </w:r>
    </w:p>
    <w:p w:rsidR="00FB1981" w:rsidRPr="00FB1981" w:rsidRDefault="00FB1981" w:rsidP="00FB1981">
      <w:pPr>
        <w:tabs>
          <w:tab w:val="left" w:pos="9360"/>
        </w:tabs>
        <w:contextualSpacing/>
        <w:jc w:val="both"/>
        <w:rPr>
          <w:i/>
          <w:iCs/>
        </w:rPr>
      </w:pPr>
    </w:p>
    <w:p w:rsidR="00597608" w:rsidRDefault="00FB1981" w:rsidP="00FB1981">
      <w:pPr>
        <w:jc w:val="both"/>
      </w:pPr>
      <w:r w:rsidRPr="00FB1981">
        <w:t>The Prevention of Elder Abuse and Neglect program (Title VII, Section 721) provides state formula grants for training and education, promoting public awareness of elder abuse, and supports state and local elder abuse prevention coalitions and multi-disciplinary teams. These activities are important elements of AoA’s enhanced focus in FY 2015 on elder justice. The program coordinates activities with state and local adult protective services programs (over half of which are directly administered by State Units on Aging) and other professionals who work to address issues of elder abuse and elder justice. The importance of these services at the state and local level is demonstrated by the fact that states significantly leverage OAA funds to obtain other funding for these activities</w:t>
      </w:r>
      <w:r w:rsidR="008705D2">
        <w:t>.</w:t>
      </w:r>
      <w:r w:rsidRPr="00FB1981">
        <w:t xml:space="preserve">  </w:t>
      </w:r>
    </w:p>
    <w:p w:rsidR="00597608" w:rsidRDefault="00597608" w:rsidP="00FB1981">
      <w:pPr>
        <w:jc w:val="both"/>
      </w:pPr>
    </w:p>
    <w:p w:rsidR="00597608" w:rsidRPr="00F559FF" w:rsidRDefault="00597608" w:rsidP="00597608">
      <w:pPr>
        <w:contextualSpacing/>
        <w:jc w:val="both"/>
      </w:pPr>
      <w:r w:rsidRPr="00F559FF">
        <w:t>As the population of older Americans increases, elder abuse, neglect, and exploitation continues to grow. While there is no single set of national elder abuse prevalence data, the number of reported cases of elder abuse, neglect, and exploitation are on the rise. A 2004 national survey of State Adult Protective Services</w:t>
      </w:r>
      <w:r>
        <w:t xml:space="preserve"> (APS) programs conducted by AoA’s</w:t>
      </w:r>
      <w:r w:rsidRPr="00F559FF">
        <w:t xml:space="preserve"> National Center on Elder Abuse showed a 16 percent increase in the number of elder abuse cases from an identical study conducted in 2000.</w:t>
      </w:r>
      <w:r w:rsidRPr="00F559FF">
        <w:rPr>
          <w:rStyle w:val="FootnoteReference"/>
        </w:rPr>
        <w:footnoteReference w:id="106"/>
      </w:r>
      <w:r w:rsidRPr="00F559FF">
        <w:t xml:space="preserve"> According to a 1998 national incidence study (the only such study ever conducted), 84 percent of all elder abuse incidents go unreported, meaning that for every reported case of abuse there are over five that go unreported.</w:t>
      </w:r>
      <w:r w:rsidRPr="00F559FF">
        <w:rPr>
          <w:rStyle w:val="FootnoteReference"/>
        </w:rPr>
        <w:footnoteReference w:id="107"/>
      </w:r>
      <w:r w:rsidRPr="00F559FF">
        <w:t xml:space="preserve"> Together, these data suggest that a minimum of </w:t>
      </w:r>
      <w:r w:rsidR="008705D2">
        <w:t>five</w:t>
      </w:r>
      <w:r w:rsidRPr="00F559FF">
        <w:t xml:space="preserve"> million elders are abused, neglected, and/or exploited annually.</w:t>
      </w:r>
    </w:p>
    <w:p w:rsidR="00597608" w:rsidRPr="00F559FF" w:rsidRDefault="00597608" w:rsidP="00597608">
      <w:pPr>
        <w:contextualSpacing/>
        <w:jc w:val="both"/>
      </w:pPr>
    </w:p>
    <w:p w:rsidR="00597608" w:rsidRPr="001A04D1" w:rsidRDefault="00597608" w:rsidP="00597608">
      <w:pPr>
        <w:jc w:val="both"/>
      </w:pPr>
      <w:r w:rsidRPr="00F559FF">
        <w:t>The negative effects of abuse, neglect, and exploitation on the health and independence of seniors is extensive. Research has demonstrated that older victims of even modest forms of abus</w:t>
      </w:r>
      <w:r>
        <w:t>e have dramatically higher (300 </w:t>
      </w:r>
      <w:r w:rsidRPr="00F559FF">
        <w:t>percent) morbidity and mortality rates than non-abused older people.</w:t>
      </w:r>
      <w:r w:rsidRPr="008167B3">
        <w:rPr>
          <w:rStyle w:val="FootnoteReference"/>
        </w:rPr>
        <w:footnoteReference w:id="108"/>
      </w:r>
      <w:r w:rsidRPr="00F559FF">
        <w:t xml:space="preserve"> Additional adverse health impacts include an increased likelihood of heart attacks, dementia, depression, chronic diseases and psychological distress. </w:t>
      </w:r>
      <w:r w:rsidR="00693AC3">
        <w:t>One</w:t>
      </w:r>
      <w:r w:rsidRPr="00F559FF">
        <w:t xml:space="preserve"> result of these unnecessary health problems is a growing number of seniors who access the healthcare system more frequently (including emergency room visits and hospital admissions), and are ultimately forced to leave their homes and communities prematurely.</w:t>
      </w:r>
      <w:r w:rsidRPr="00F559FF">
        <w:rPr>
          <w:rStyle w:val="FootnoteReference"/>
        </w:rPr>
        <w:footnoteReference w:id="109"/>
      </w:r>
    </w:p>
    <w:p w:rsidR="00597608" w:rsidRDefault="00597608" w:rsidP="00FB1981">
      <w:pPr>
        <w:jc w:val="both"/>
      </w:pPr>
    </w:p>
    <w:p w:rsidR="00487731" w:rsidRDefault="00487731" w:rsidP="00FB1981">
      <w:pPr>
        <w:jc w:val="both"/>
      </w:pPr>
    </w:p>
    <w:p w:rsidR="00FB1981" w:rsidRPr="00FB1981" w:rsidRDefault="00FB1981" w:rsidP="00FB1981">
      <w:pPr>
        <w:jc w:val="both"/>
      </w:pPr>
      <w:r w:rsidRPr="00FB1981">
        <w:lastRenderedPageBreak/>
        <w:t>Examples of state elder abuse prevention activities include:</w:t>
      </w:r>
    </w:p>
    <w:p w:rsidR="00FB1981" w:rsidRPr="00FB1981" w:rsidRDefault="00FB1981" w:rsidP="00FB1981">
      <w:pPr>
        <w:jc w:val="both"/>
      </w:pPr>
    </w:p>
    <w:p w:rsidR="00FB1981" w:rsidRPr="00FB1981" w:rsidRDefault="00FB1981" w:rsidP="00C17B32">
      <w:pPr>
        <w:spacing w:after="200"/>
        <w:contextualSpacing/>
        <w:jc w:val="both"/>
      </w:pPr>
      <w:r w:rsidRPr="00FB1981">
        <w:rPr>
          <w:iCs/>
        </w:rPr>
        <w:t>In Vermont, the AAA in the remote Northeast Kingdom region has developed a coalition of community partners who meet together regularly to address elder justice and elder abuse through collective action. Partners include: Vermont State Police, Caledonia County State’s Attorney Office; Caledonia State’s Attorney Victim Advocate,  DOC Victim Advocate, Northeast Kingdom Human Services, Adult Protective Services, St. Johnsbury Health and Rehab, the  SIU-Caledonia Special Investigations Unit, the local transportation provider, local hospital, Legal Aid long-term care ombudsman, and Office of Public Guardian.  In addition to regular meetings, the partners together organized a community awareness event focused on elder justice and elder abuse prevention on World Elder Abuse Awareness Day in June.</w:t>
      </w:r>
    </w:p>
    <w:p w:rsidR="00FB1981" w:rsidRPr="00FB1981" w:rsidRDefault="00FB1981" w:rsidP="00C17B32">
      <w:pPr>
        <w:contextualSpacing/>
        <w:jc w:val="both"/>
      </w:pPr>
    </w:p>
    <w:p w:rsidR="00FB1981" w:rsidRPr="00DA142A" w:rsidRDefault="00FB1981" w:rsidP="00C17B32">
      <w:pPr>
        <w:spacing w:after="200"/>
        <w:jc w:val="both"/>
        <w:rPr>
          <w:sz w:val="22"/>
          <w:szCs w:val="32"/>
          <w:lang w:bidi="en-US"/>
        </w:rPr>
      </w:pPr>
      <w:r w:rsidRPr="00FB1981">
        <w:rPr>
          <w:szCs w:val="32"/>
          <w:lang w:bidi="en-US"/>
        </w:rPr>
        <w:t>Louisiana has invested Section 721 funds to</w:t>
      </w:r>
      <w:r w:rsidR="008705D2">
        <w:rPr>
          <w:szCs w:val="32"/>
          <w:lang w:bidi="en-US"/>
        </w:rPr>
        <w:t>:</w:t>
      </w:r>
      <w:r w:rsidRPr="00FB1981">
        <w:rPr>
          <w:szCs w:val="32"/>
          <w:lang w:bidi="en-US"/>
        </w:rPr>
        <w:t xml:space="preserve"> meet the medical needs of abandoned, incapacitated seniors who have nobody to consent to medical treatment of an appropriated residential placement</w:t>
      </w:r>
      <w:r w:rsidR="008705D2">
        <w:rPr>
          <w:szCs w:val="32"/>
          <w:lang w:bidi="en-US"/>
        </w:rPr>
        <w:t>;</w:t>
      </w:r>
      <w:r w:rsidRPr="00FB1981">
        <w:rPr>
          <w:szCs w:val="32"/>
          <w:lang w:bidi="en-US"/>
        </w:rPr>
        <w:t xml:space="preserve"> assist hospitals and other treatment facilities to reduce the number of abandoned, incapacitated senior needing medical care and residential placements</w:t>
      </w:r>
      <w:r w:rsidR="008705D2">
        <w:rPr>
          <w:szCs w:val="32"/>
          <w:lang w:bidi="en-US"/>
        </w:rPr>
        <w:t>;</w:t>
      </w:r>
      <w:r w:rsidRPr="00FB1981">
        <w:rPr>
          <w:szCs w:val="32"/>
          <w:lang w:bidi="en-US"/>
        </w:rPr>
        <w:t xml:space="preserve"> assist long-term care facilities with medical needs of abandoned, incapacitated seniors</w:t>
      </w:r>
      <w:r w:rsidR="008705D2">
        <w:rPr>
          <w:szCs w:val="32"/>
          <w:lang w:bidi="en-US"/>
        </w:rPr>
        <w:t>;</w:t>
      </w:r>
      <w:r w:rsidRPr="00FB1981">
        <w:rPr>
          <w:szCs w:val="32"/>
          <w:lang w:bidi="en-US"/>
        </w:rPr>
        <w:t xml:space="preserve"> </w:t>
      </w:r>
      <w:r w:rsidR="008705D2">
        <w:rPr>
          <w:szCs w:val="32"/>
          <w:lang w:bidi="en-US"/>
        </w:rPr>
        <w:t xml:space="preserve">and </w:t>
      </w:r>
      <w:r w:rsidRPr="00FB1981">
        <w:rPr>
          <w:szCs w:val="32"/>
          <w:lang w:bidi="en-US"/>
        </w:rPr>
        <w:t xml:space="preserve">to assist abandoned, incapacitated seniors with asset/benefits management to </w:t>
      </w:r>
      <w:r w:rsidR="008705D2">
        <w:rPr>
          <w:szCs w:val="32"/>
          <w:lang w:bidi="en-US"/>
        </w:rPr>
        <w:t>see</w:t>
      </w:r>
      <w:r w:rsidRPr="00FB1981">
        <w:rPr>
          <w:szCs w:val="32"/>
          <w:lang w:bidi="en-US"/>
        </w:rPr>
        <w:t xml:space="preserve"> that their finances are being appropriately managed to pay for their care.</w:t>
      </w:r>
    </w:p>
    <w:p w:rsidR="00FB1981" w:rsidRPr="00FB1981" w:rsidRDefault="00FB1981" w:rsidP="00FB1981">
      <w:pPr>
        <w:jc w:val="both"/>
      </w:pPr>
      <w:r w:rsidRPr="00FB1981">
        <w:t>The Prevention of Elder Abuse and Neglect program demonstrates AoA’s ongoing commitment to protecting the rights of vulnerable seniors and promoting their dignity and autonomy. Through education efforts, exposing problems that would otherwise be hidden from view, and providing a voice for those who cannot act for themselves, the program helps ensure that all older Americans are able to age with dignity in a safe environment.</w:t>
      </w:r>
    </w:p>
    <w:p w:rsidR="00FB1981" w:rsidRPr="00FB1981" w:rsidRDefault="00FB1981" w:rsidP="00FB1981"/>
    <w:p w:rsidR="00FB1981" w:rsidRPr="00FB1981" w:rsidRDefault="00FB1981" w:rsidP="00FB1981">
      <w:pPr>
        <w:keepNext/>
        <w:contextualSpacing/>
        <w:rPr>
          <w:spacing w:val="-4"/>
          <w:u w:val="single"/>
        </w:rPr>
      </w:pPr>
      <w:r w:rsidRPr="00FB1981">
        <w:rPr>
          <w:spacing w:val="-4"/>
          <w:u w:val="single"/>
        </w:rPr>
        <w:t>National Center on Elder Abuse</w:t>
      </w:r>
    </w:p>
    <w:p w:rsidR="00FB1981" w:rsidRPr="00FB1981" w:rsidRDefault="00FB1981" w:rsidP="00FB1981">
      <w:pPr>
        <w:contextualSpacing/>
        <w:jc w:val="center"/>
        <w:rPr>
          <w:b/>
          <w:spacing w:val="-4"/>
          <w:sz w:val="28"/>
          <w:szCs w:val="28"/>
        </w:rPr>
      </w:pPr>
    </w:p>
    <w:p w:rsidR="00FB1981" w:rsidRPr="00FB1981" w:rsidRDefault="00FB1981" w:rsidP="00FB1981">
      <w:pPr>
        <w:contextualSpacing/>
        <w:jc w:val="both"/>
        <w:rPr>
          <w:spacing w:val="-4"/>
        </w:rPr>
      </w:pPr>
      <w:r w:rsidRPr="00FB1981">
        <w:rPr>
          <w:spacing w:val="-4"/>
        </w:rPr>
        <w:t xml:space="preserve">To support and enhance the activities of state and local programs to prevent </w:t>
      </w:r>
      <w:r w:rsidR="008705D2">
        <w:rPr>
          <w:spacing w:val="-4"/>
        </w:rPr>
        <w:t>e</w:t>
      </w:r>
      <w:r w:rsidRPr="00FB1981">
        <w:rPr>
          <w:spacing w:val="-4"/>
        </w:rPr>
        <w:t xml:space="preserve">lder </w:t>
      </w:r>
      <w:r w:rsidR="008705D2">
        <w:rPr>
          <w:spacing w:val="-4"/>
        </w:rPr>
        <w:t>a</w:t>
      </w:r>
      <w:r w:rsidRPr="00FB1981">
        <w:rPr>
          <w:spacing w:val="-4"/>
        </w:rPr>
        <w:t>buse,</w:t>
      </w:r>
      <w:r w:rsidR="008705D2">
        <w:rPr>
          <w:spacing w:val="-4"/>
        </w:rPr>
        <w:t xml:space="preserve"> n</w:t>
      </w:r>
      <w:r w:rsidRPr="00FB1981">
        <w:rPr>
          <w:spacing w:val="-4"/>
        </w:rPr>
        <w:t xml:space="preserve">eglect, and </w:t>
      </w:r>
      <w:r w:rsidR="008705D2">
        <w:rPr>
          <w:spacing w:val="-4"/>
        </w:rPr>
        <w:t>e</w:t>
      </w:r>
      <w:r w:rsidRPr="00FB1981">
        <w:rPr>
          <w:spacing w:val="-4"/>
        </w:rPr>
        <w:t>xploitation, AoA funds the National Center on Elder Abuse (NCEA).  NCEA disseminates information to professionals and the public and provides technical assistance and training to states and community-based organizations. The NCEA makes available news and resources</w:t>
      </w:r>
      <w:r w:rsidR="003A566B">
        <w:rPr>
          <w:spacing w:val="-4"/>
        </w:rPr>
        <w:t>,</w:t>
      </w:r>
      <w:r w:rsidRPr="00FB1981">
        <w:rPr>
          <w:spacing w:val="-4"/>
        </w:rPr>
        <w:t xml:space="preserve"> collaborates on research</w:t>
      </w:r>
      <w:r w:rsidR="003A566B">
        <w:rPr>
          <w:spacing w:val="-4"/>
        </w:rPr>
        <w:t>,</w:t>
      </w:r>
      <w:r w:rsidRPr="00FB1981">
        <w:rPr>
          <w:spacing w:val="-4"/>
        </w:rPr>
        <w:t xml:space="preserve"> provides consultation, education, and training; identifies and provides information about promising practices and interventions</w:t>
      </w:r>
      <w:r w:rsidR="003A566B">
        <w:rPr>
          <w:spacing w:val="-4"/>
        </w:rPr>
        <w:t>,</w:t>
      </w:r>
      <w:r w:rsidRPr="00FB1981">
        <w:rPr>
          <w:spacing w:val="-4"/>
        </w:rPr>
        <w:t xml:space="preserve"> answers inquiries and requests for information</w:t>
      </w:r>
      <w:r w:rsidR="003A566B">
        <w:rPr>
          <w:spacing w:val="-4"/>
        </w:rPr>
        <w:t>,</w:t>
      </w:r>
      <w:r w:rsidRPr="00FB1981">
        <w:rPr>
          <w:spacing w:val="-4"/>
        </w:rPr>
        <w:t xml:space="preserve"> operates a listserv forum for professionals</w:t>
      </w:r>
      <w:r w:rsidR="003A566B">
        <w:rPr>
          <w:spacing w:val="-4"/>
        </w:rPr>
        <w:t>,</w:t>
      </w:r>
      <w:r w:rsidRPr="00FB1981">
        <w:rPr>
          <w:spacing w:val="-4"/>
        </w:rPr>
        <w:t xml:space="preserve"> and advises on program and policy development. NCEA also facilitates the exchange of strategies for uncovering and prosecuting fraud in areas such as telemarketing and sweepstakes scams</w:t>
      </w:r>
      <w:r w:rsidR="00693AC3">
        <w:rPr>
          <w:spacing w:val="-4"/>
        </w:rPr>
        <w:t xml:space="preserve"> that target the elderly</w:t>
      </w:r>
      <w:r w:rsidRPr="00FB1981">
        <w:rPr>
          <w:spacing w:val="-4"/>
        </w:rPr>
        <w:t xml:space="preserve">. </w:t>
      </w:r>
    </w:p>
    <w:p w:rsidR="00FB1981" w:rsidRPr="00FB1981" w:rsidRDefault="00FB1981" w:rsidP="00FB1981">
      <w:pPr>
        <w:contextualSpacing/>
        <w:jc w:val="both"/>
        <w:rPr>
          <w:spacing w:val="-4"/>
        </w:rPr>
      </w:pPr>
    </w:p>
    <w:p w:rsidR="00FB1981" w:rsidRPr="00FB1981" w:rsidRDefault="00FB1981" w:rsidP="00FB1981">
      <w:pPr>
        <w:contextualSpacing/>
        <w:jc w:val="both"/>
        <w:rPr>
          <w:spacing w:val="-4"/>
        </w:rPr>
      </w:pPr>
      <w:r w:rsidRPr="00FB1981">
        <w:rPr>
          <w:spacing w:val="-4"/>
        </w:rPr>
        <w:t>In FY 2015, the NCEA:</w:t>
      </w:r>
    </w:p>
    <w:p w:rsidR="00FB1981" w:rsidRDefault="00FB1981" w:rsidP="00FA2C70">
      <w:pPr>
        <w:pStyle w:val="ListParagraph"/>
        <w:numPr>
          <w:ilvl w:val="0"/>
          <w:numId w:val="21"/>
        </w:numPr>
        <w:spacing w:after="200"/>
        <w:jc w:val="both"/>
        <w:rPr>
          <w:spacing w:val="-4"/>
        </w:rPr>
      </w:pPr>
      <w:r w:rsidRPr="00E21518">
        <w:rPr>
          <w:spacing w:val="-4"/>
        </w:rPr>
        <w:t>Responded to over 727 individual public inquiries and requests for information regarding elder abuse.</w:t>
      </w:r>
    </w:p>
    <w:p w:rsidR="00FD5B4E" w:rsidRPr="00E21518" w:rsidRDefault="00FD5B4E" w:rsidP="00FD5B4E">
      <w:pPr>
        <w:pStyle w:val="ListParagraph"/>
        <w:spacing w:after="200"/>
        <w:jc w:val="both"/>
        <w:rPr>
          <w:spacing w:val="-4"/>
        </w:rPr>
      </w:pPr>
    </w:p>
    <w:p w:rsidR="00FB1981" w:rsidRPr="00E21518" w:rsidRDefault="00FB1981" w:rsidP="00FA2C70">
      <w:pPr>
        <w:pStyle w:val="ListParagraph"/>
        <w:numPr>
          <w:ilvl w:val="0"/>
          <w:numId w:val="21"/>
        </w:numPr>
        <w:spacing w:after="200"/>
        <w:jc w:val="both"/>
        <w:rPr>
          <w:spacing w:val="-4"/>
        </w:rPr>
      </w:pPr>
      <w:r w:rsidRPr="00E21518">
        <w:rPr>
          <w:spacing w:val="-4"/>
        </w:rPr>
        <w:t xml:space="preserve">Conducted 47 community based local and national presentations, including large scale conferences with an approximate reach of 2,500 individuals representing diverse backgrounds. </w:t>
      </w:r>
    </w:p>
    <w:p w:rsidR="00307727" w:rsidRDefault="00307727" w:rsidP="00307727">
      <w:pPr>
        <w:pStyle w:val="ListParagraph"/>
        <w:spacing w:after="200"/>
        <w:jc w:val="both"/>
        <w:rPr>
          <w:spacing w:val="-4"/>
        </w:rPr>
      </w:pPr>
    </w:p>
    <w:p w:rsidR="00FD5B4E" w:rsidRDefault="00FB1981" w:rsidP="00FA2C70">
      <w:pPr>
        <w:pStyle w:val="ListParagraph"/>
        <w:numPr>
          <w:ilvl w:val="0"/>
          <w:numId w:val="21"/>
        </w:numPr>
        <w:spacing w:after="200"/>
        <w:jc w:val="both"/>
        <w:rPr>
          <w:spacing w:val="-4"/>
        </w:rPr>
      </w:pPr>
      <w:r w:rsidRPr="00FD5B4E">
        <w:rPr>
          <w:spacing w:val="-4"/>
        </w:rPr>
        <w:t xml:space="preserve">Developed collaborations with membership organizations and other nationally recognized resource centers that identify information and connections to local supportive services for API, Latino, Native American, LGBTQ, African American, and Alzheimer’s resource centers.  </w:t>
      </w:r>
    </w:p>
    <w:p w:rsidR="00FD5B4E" w:rsidRPr="00FD5B4E" w:rsidRDefault="00FD5B4E" w:rsidP="00FD5B4E">
      <w:pPr>
        <w:pStyle w:val="ListParagraph"/>
        <w:rPr>
          <w:spacing w:val="-4"/>
        </w:rPr>
      </w:pPr>
    </w:p>
    <w:p w:rsidR="00FB1981" w:rsidRPr="00FD5B4E" w:rsidRDefault="00FB1981" w:rsidP="00FA2C70">
      <w:pPr>
        <w:pStyle w:val="ListParagraph"/>
        <w:numPr>
          <w:ilvl w:val="0"/>
          <w:numId w:val="21"/>
        </w:numPr>
        <w:spacing w:after="200"/>
        <w:jc w:val="both"/>
        <w:rPr>
          <w:spacing w:val="-4"/>
        </w:rPr>
      </w:pPr>
      <w:r w:rsidRPr="00FD5B4E">
        <w:rPr>
          <w:spacing w:val="-4"/>
        </w:rPr>
        <w:t>Successfully conducted a</w:t>
      </w:r>
      <w:r w:rsidR="003A566B">
        <w:rPr>
          <w:spacing w:val="-4"/>
        </w:rPr>
        <w:t xml:space="preserve"> ten-</w:t>
      </w:r>
      <w:r w:rsidRPr="00FD5B4E">
        <w:rPr>
          <w:spacing w:val="-4"/>
        </w:rPr>
        <w:t>week World Elder Abuse Awareness Day (WEAAD) Campaign that featured national experts posting blogs and being available for twitter chats.  Among the outcomes:</w:t>
      </w:r>
      <w:r w:rsidR="00FD5B4E" w:rsidRPr="00FD5B4E">
        <w:rPr>
          <w:spacing w:val="-4"/>
        </w:rPr>
        <w:t xml:space="preserve"> </w:t>
      </w:r>
      <w:r w:rsidR="00FA2C70">
        <w:rPr>
          <w:spacing w:val="-4"/>
        </w:rPr>
        <w:t>s</w:t>
      </w:r>
      <w:r w:rsidRPr="00FD5B4E">
        <w:rPr>
          <w:spacing w:val="-4"/>
        </w:rPr>
        <w:t xml:space="preserve">ocial </w:t>
      </w:r>
      <w:r w:rsidR="008705D2" w:rsidRPr="00FD5B4E">
        <w:rPr>
          <w:spacing w:val="-4"/>
        </w:rPr>
        <w:t>me</w:t>
      </w:r>
      <w:r w:rsidRPr="00FD5B4E">
        <w:rPr>
          <w:spacing w:val="-4"/>
        </w:rPr>
        <w:t>dia tracking indicated that one segment alone had over 1,000,000 impressions</w:t>
      </w:r>
      <w:r w:rsidR="00FD5B4E" w:rsidRPr="00FD5B4E">
        <w:rPr>
          <w:spacing w:val="-4"/>
        </w:rPr>
        <w:t>;</w:t>
      </w:r>
      <w:r w:rsidRPr="00FD5B4E">
        <w:rPr>
          <w:spacing w:val="-4"/>
        </w:rPr>
        <w:t xml:space="preserve"> and</w:t>
      </w:r>
      <w:r w:rsidR="00FD5B4E">
        <w:rPr>
          <w:spacing w:val="-4"/>
        </w:rPr>
        <w:t xml:space="preserve"> </w:t>
      </w:r>
      <w:r w:rsidRPr="00FD5B4E">
        <w:rPr>
          <w:spacing w:val="-4"/>
        </w:rPr>
        <w:t xml:space="preserve">hosted an International WEAAD </w:t>
      </w:r>
      <w:r w:rsidR="00FA2C70">
        <w:rPr>
          <w:spacing w:val="-4"/>
        </w:rPr>
        <w:t>w</w:t>
      </w:r>
      <w:r w:rsidRPr="00FD5B4E">
        <w:rPr>
          <w:spacing w:val="-4"/>
        </w:rPr>
        <w:t>ebinar with over 300 participants from around the world.</w:t>
      </w:r>
    </w:p>
    <w:p w:rsidR="00FB1981" w:rsidRPr="00FA70B3" w:rsidRDefault="00FB1981" w:rsidP="00FB1981">
      <w:pPr>
        <w:keepNext/>
        <w:jc w:val="center"/>
        <w:outlineLvl w:val="1"/>
        <w:rPr>
          <w:b/>
          <w:bCs/>
          <w:iCs/>
          <w:sz w:val="28"/>
          <w:szCs w:val="28"/>
          <w:lang w:bidi="en-US"/>
        </w:rPr>
      </w:pPr>
      <w:bookmarkStart w:id="38" w:name="_Toc436738887"/>
      <w:r w:rsidRPr="00FA70B3">
        <w:rPr>
          <w:b/>
          <w:bCs/>
          <w:iCs/>
          <w:sz w:val="28"/>
          <w:szCs w:val="28"/>
          <w:lang w:bidi="en-US"/>
        </w:rPr>
        <w:t>National Legal Assistance and Support Projects</w:t>
      </w:r>
      <w:bookmarkEnd w:id="38"/>
    </w:p>
    <w:p w:rsidR="00FB1981" w:rsidRPr="00FA70B3" w:rsidRDefault="00FB1981" w:rsidP="00FB1981">
      <w:pPr>
        <w:keepNext/>
        <w:jc w:val="center"/>
        <w:outlineLvl w:val="1"/>
        <w:rPr>
          <w:b/>
          <w:bCs/>
          <w:iCs/>
          <w:sz w:val="28"/>
          <w:szCs w:val="28"/>
          <w:lang w:bidi="en-US"/>
        </w:rPr>
      </w:pPr>
      <w:bookmarkStart w:id="39" w:name="_Toc436738888"/>
      <w:r w:rsidRPr="00FA70B3">
        <w:rPr>
          <w:b/>
          <w:bCs/>
          <w:iCs/>
          <w:sz w:val="28"/>
          <w:szCs w:val="28"/>
          <w:lang w:bidi="en-US"/>
        </w:rPr>
        <w:t>National Legal Resource Center</w:t>
      </w:r>
      <w:bookmarkEnd w:id="39"/>
    </w:p>
    <w:p w:rsidR="00FB1981" w:rsidRPr="000F7881" w:rsidRDefault="00FB1981" w:rsidP="00FB1981">
      <w:pPr>
        <w:keepNext/>
        <w:jc w:val="center"/>
        <w:outlineLvl w:val="1"/>
        <w:rPr>
          <w:b/>
          <w:bCs/>
          <w:i/>
          <w:iCs/>
          <w:lang w:bidi="en-US"/>
        </w:rPr>
      </w:pPr>
      <w:bookmarkStart w:id="40" w:name="_Toc436738889"/>
      <w:r w:rsidRPr="000F7881">
        <w:rPr>
          <w:b/>
          <w:bCs/>
          <w:i/>
          <w:iCs/>
          <w:lang w:bidi="en-US"/>
        </w:rPr>
        <w:t>(FY 201</w:t>
      </w:r>
      <w:r w:rsidR="00984E3B" w:rsidRPr="000F7881">
        <w:rPr>
          <w:b/>
          <w:bCs/>
          <w:i/>
          <w:iCs/>
          <w:lang w:bidi="en-US"/>
        </w:rPr>
        <w:t>5</w:t>
      </w:r>
      <w:r w:rsidRPr="000F7881">
        <w:rPr>
          <w:b/>
          <w:bCs/>
          <w:i/>
          <w:iCs/>
          <w:lang w:bidi="en-US"/>
        </w:rPr>
        <w:t>: $653,677)</w:t>
      </w:r>
      <w:bookmarkEnd w:id="40"/>
    </w:p>
    <w:p w:rsidR="00FB1981" w:rsidRPr="00FB1981" w:rsidRDefault="00FB1981" w:rsidP="00FB1981"/>
    <w:p w:rsidR="00FB1981" w:rsidRPr="00FB1981" w:rsidRDefault="00FB1981" w:rsidP="00FB1981">
      <w:pPr>
        <w:jc w:val="both"/>
      </w:pPr>
      <w:r w:rsidRPr="00FB1981">
        <w:t xml:space="preserve">National Legal Assistance and Support grants funded a comprehensive national legal assistance support system for professionals and advocates working in legal and aging services networks. These grants collectively formed the National Legal Resource Center (NLRC), which is designed to empower professionals in aging and legal networks with the tools and resources necessary to provide older clients and consumers with high quality legal assistance in areas of critical importance to their independence, health, and financial security. </w:t>
      </w:r>
    </w:p>
    <w:p w:rsidR="00FB1981" w:rsidRPr="00FB1981" w:rsidRDefault="00FB1981" w:rsidP="00FB1981">
      <w:pPr>
        <w:jc w:val="both"/>
      </w:pPr>
    </w:p>
    <w:p w:rsidR="00FB1981" w:rsidRPr="00FB1981" w:rsidRDefault="00FB1981" w:rsidP="00FB1981">
      <w:pPr>
        <w:jc w:val="both"/>
      </w:pPr>
      <w:r w:rsidRPr="00FB1981">
        <w:t>As a streamlined and accessible point of entry, the NLRC supported the leadership, knowledge, and systems capacity of legal and aging provider organizations in order to enhance the quality, cost-effectiveness, and accessibility of legal assistance and elder rights protections available to older persons with social or economic needs. The audience targeted to receive support services through the NLRC included a broad range of legal, elder rights, and aging services professionals and advocates. These included legal assistance providers, legal assistance developers, long-term care ombudsmen, State Unit on Aging directors, AAA and ADRC personnel, senior legal helplines (SLHs), and others involved in protecting the rights of older persons.</w:t>
      </w:r>
    </w:p>
    <w:p w:rsidR="00FB1981" w:rsidRPr="00FB1981" w:rsidRDefault="00FB1981" w:rsidP="00FB1981">
      <w:pPr>
        <w:jc w:val="both"/>
      </w:pPr>
      <w:r w:rsidRPr="00FB1981">
        <w:t xml:space="preserve"> </w:t>
      </w:r>
    </w:p>
    <w:p w:rsidR="00FB1981" w:rsidRPr="00FB1981" w:rsidRDefault="00FB1981" w:rsidP="00FB1981">
      <w:pPr>
        <w:jc w:val="both"/>
      </w:pPr>
      <w:r w:rsidRPr="00FB1981">
        <w:t>The NLRC provided core resource support through a strategic combination of case consultation, training, and technical assistance on a broad range of legal issues and systems development issues. Examples of common legal issues on which the NLRC provided assistance include preventing the loss of an older individual’s home through foreclosure; protecting against consumer scams and creditor harassment; addressing elder abuse in the community and in long-term care facilities; and difficulties in accessing public benefits essential to financial security, independence, and health. The NLRC also provided technical assistance on the efficient, cost-effective, and targeted provision of state-wide legal and elder rights advocacy services.</w:t>
      </w:r>
    </w:p>
    <w:p w:rsidR="00FB1981" w:rsidRPr="00FB1981" w:rsidRDefault="00FB1981" w:rsidP="00FB1981">
      <w:pPr>
        <w:jc w:val="both"/>
      </w:pPr>
    </w:p>
    <w:p w:rsidR="00FB1981" w:rsidRPr="00FB1981" w:rsidRDefault="00FB1981" w:rsidP="00FB1981">
      <w:pPr>
        <w:jc w:val="both"/>
      </w:pPr>
      <w:r w:rsidRPr="00FB1981">
        <w:t>In FY 2015, older consumers and the legal providers who serve them faced a host of legal challenges. In response to an increasing demand for legal resource support, the NLRC provided training and case consultation to over 9,500 aging and legal service professionals nationwide. NLRC partners also provided important technical support in the implementation of the Model Approaches projects in 24 states, featuring the provision of expertise in legal needs and capacity assessments, effective targeting and outreach methodologies, statewide reporting systems, and legal service delivery standards.  With regard to technical support directed at SLHs, the NLRC provided assistance to 25 SLHs on various service deliver</w:t>
      </w:r>
      <w:r w:rsidR="008705D2">
        <w:t>y</w:t>
      </w:r>
      <w:r w:rsidRPr="00FB1981">
        <w:t xml:space="preserve"> issues, including outreach, case management, data collection, and outcome measurement.    </w:t>
      </w:r>
    </w:p>
    <w:p w:rsidR="00FB1981" w:rsidRPr="00FB1981" w:rsidRDefault="00FB1981" w:rsidP="00FB1981">
      <w:pPr>
        <w:jc w:val="both"/>
      </w:pPr>
    </w:p>
    <w:p w:rsidR="00FB1981" w:rsidRPr="00FB1981" w:rsidRDefault="00FB1981" w:rsidP="00FB1981">
      <w:pPr>
        <w:jc w:val="both"/>
      </w:pPr>
      <w:r w:rsidRPr="00FB1981">
        <w:t xml:space="preserve">An essential structural feature of the NLRC is that the combined efforts of several partnering organizations with high levels of subject matter expertise were required to achieve its broad resource support objectives. Through effective collaborations, interlocking work plans, and the </w:t>
      </w:r>
      <w:r w:rsidRPr="00FB1981">
        <w:lastRenderedPageBreak/>
        <w:t xml:space="preserve">leveraging of organizational resources, NLRC partners have demonstrated the ability to achieve effective national coverage on high priority legal issues areas. </w:t>
      </w:r>
    </w:p>
    <w:p w:rsidR="00FB1981" w:rsidRPr="00FB1981" w:rsidRDefault="00FB1981" w:rsidP="00FB1981">
      <w:pPr>
        <w:jc w:val="both"/>
      </w:pPr>
    </w:p>
    <w:p w:rsidR="00FB1981" w:rsidRPr="00FB1981" w:rsidRDefault="00FB1981" w:rsidP="00FB1981">
      <w:pPr>
        <w:jc w:val="both"/>
      </w:pPr>
      <w:r w:rsidRPr="00FB1981">
        <w:t xml:space="preserve">In addition, the </w:t>
      </w:r>
      <w:hyperlink r:id="rId15" w:history="1">
        <w:r w:rsidRPr="00634C85">
          <w:rPr>
            <w:rStyle w:val="Hyperlink"/>
          </w:rPr>
          <w:t>NLRC website</w:t>
        </w:r>
      </w:hyperlink>
      <w:r w:rsidRPr="00FB1981">
        <w:t xml:space="preserve"> continues to serve as a single entry point into a national legal assistance support system providing high quality resources and expertise on a broad range of legal and systems development issues.    </w:t>
      </w:r>
    </w:p>
    <w:p w:rsidR="00FB1981" w:rsidRDefault="00FB1981" w:rsidP="00FB1981">
      <w:pPr>
        <w:jc w:val="both"/>
      </w:pPr>
    </w:p>
    <w:p w:rsidR="00FB1981" w:rsidRPr="00FA70B3" w:rsidRDefault="00FB1981" w:rsidP="00FB1981">
      <w:pPr>
        <w:keepNext/>
        <w:jc w:val="center"/>
        <w:outlineLvl w:val="1"/>
        <w:rPr>
          <w:b/>
          <w:bCs/>
          <w:iCs/>
          <w:sz w:val="28"/>
          <w:szCs w:val="28"/>
          <w:lang w:bidi="en-US"/>
        </w:rPr>
      </w:pPr>
      <w:bookmarkStart w:id="41" w:name="_Toc436738890"/>
      <w:r w:rsidRPr="00FA70B3">
        <w:rPr>
          <w:b/>
          <w:bCs/>
          <w:iCs/>
          <w:sz w:val="28"/>
          <w:szCs w:val="28"/>
          <w:lang w:bidi="en-US"/>
        </w:rPr>
        <w:t>Model Approaches to Statewide Legal Assistance Systems</w:t>
      </w:r>
      <w:bookmarkEnd w:id="41"/>
    </w:p>
    <w:p w:rsidR="00FB1981" w:rsidRPr="000F7881" w:rsidRDefault="00FB1981" w:rsidP="00FB1981">
      <w:pPr>
        <w:jc w:val="center"/>
        <w:rPr>
          <w:b/>
          <w:i/>
        </w:rPr>
      </w:pPr>
      <w:r w:rsidRPr="000F7881">
        <w:rPr>
          <w:b/>
          <w:i/>
        </w:rPr>
        <w:t>(FY 2015: $1,966,329)</w:t>
      </w:r>
    </w:p>
    <w:p w:rsidR="00FB1981" w:rsidRPr="00FB1981" w:rsidRDefault="00FB1981" w:rsidP="00FB1981">
      <w:pPr>
        <w:jc w:val="both"/>
      </w:pPr>
    </w:p>
    <w:p w:rsidR="00FB1981" w:rsidRPr="00FB1981" w:rsidRDefault="00FB1981" w:rsidP="00FB1981">
      <w:pPr>
        <w:jc w:val="both"/>
      </w:pPr>
      <w:r w:rsidRPr="00FB1981">
        <w:t>The Model Approaches to Statewide Legal Assistance Systems (Model Approaches) demonstration grants represent an innovative departure from ACL’s past approach to the funding of Senior Legal Helplines (SLHs). Thirty-one states have been awarded Model Approaches grants, which seek to address the nationwide challenge of coordinating what are often fragmented and inconsistent legal service delivery systems that do not always provide access to quality services for older Americans who are most in need. Model Approaches helps states develop and implement cost-effective, replicable approaches for integrating SLHs and other essential low cost mechanisms into the broader spectrum of state legal service delivery networks. Ultimately, legal assistance provided through well-integrated and cost-effective service delivery systems, as demonstrated through Model Approaches, directly impacts the ability of older individuals to remain independent, healthy, and financially secure in their homes and communities.</w:t>
      </w:r>
    </w:p>
    <w:p w:rsidR="00FB1981" w:rsidRPr="00FB1981" w:rsidRDefault="00FB1981" w:rsidP="00FB1981">
      <w:pPr>
        <w:jc w:val="both"/>
      </w:pPr>
    </w:p>
    <w:p w:rsidR="00FB1981" w:rsidRPr="00FB1981" w:rsidRDefault="00FB1981" w:rsidP="00FB1981">
      <w:pPr>
        <w:jc w:val="both"/>
      </w:pPr>
      <w:r w:rsidRPr="00FB1981">
        <w:t xml:space="preserve">Model Approaches features strong leadership at the state level to achieve its service delivery integration objectives. State legal assistance developers have demonstrated effective leadership in incorporating the use of SLHs and other low-cost mechanisms into the state legal services delivery system. Key project partners and service delivery components also include Title III-B legal services providers, private bar pro-bono attorneys, law school clinics, and self-help sites. By promoting the seamless integration of these vital legal service delivery components, Model Approaches enables seniors most in need to access quality legal services in priority legal issue areas involving income security, healthcare financing, consumer fraud, housing and foreclosure prevention, and elder abuse. In addition, by ensuring strong leadership at the state level, Model Approaches projects have created important partnerships and linkages between the existing legal assistance community and the broader community-based aging and elder rights networks, including AAAs, ADRC, state long-term care ombudsmen, and Adult Protective Services. </w:t>
      </w:r>
    </w:p>
    <w:p w:rsidR="00FB1981" w:rsidRPr="00FB1981" w:rsidRDefault="00FB1981" w:rsidP="00FB1981">
      <w:pPr>
        <w:jc w:val="both"/>
      </w:pPr>
    </w:p>
    <w:p w:rsidR="00FB1981" w:rsidRPr="00FB1981" w:rsidRDefault="00FB1981" w:rsidP="00FB1981">
      <w:pPr>
        <w:jc w:val="both"/>
      </w:pPr>
      <w:r w:rsidRPr="00FB1981">
        <w:t xml:space="preserve">As a key centerpiece of the Model Approaches projects, SLHs assist older persons in accessing quality legal services to ensure their rights and enhance their independence and financial security. In 2015, Model Approaches projects assisted 19,995 older consumers with the </w:t>
      </w:r>
      <w:r w:rsidR="00F1041E">
        <w:t>greatest</w:t>
      </w:r>
      <w:r w:rsidRPr="00FB1981">
        <w:t xml:space="preserve"> social or economic needs on a wide range of priority legal issues related to public benefits, health care, housing, advance planning, and consumer protection. Some recent examples of the success of SLHs’ experience in assisting individuals include:</w:t>
      </w:r>
    </w:p>
    <w:p w:rsidR="00FB1981" w:rsidRDefault="00FB1981" w:rsidP="00FA2C70">
      <w:pPr>
        <w:pStyle w:val="ListParagraph"/>
        <w:numPr>
          <w:ilvl w:val="0"/>
          <w:numId w:val="23"/>
        </w:numPr>
        <w:spacing w:before="100" w:beforeAutospacing="1" w:after="100" w:afterAutospacing="1"/>
        <w:jc w:val="both"/>
      </w:pPr>
      <w:r w:rsidRPr="00FB1981">
        <w:t>An 84 year old women contacted a SLH for advice on how to have her grandchildren and great-grandchildren removed from her home. She stated that her great-grandson regularly abused drugs and alcohol and that she no longer felt safe in her own home. Through the assistance of the SLH attorney, the women was able to reclaim her home where she can now live in peace without fearing for her own safety.</w:t>
      </w:r>
    </w:p>
    <w:p w:rsidR="00FA2C70" w:rsidRPr="00FB1981" w:rsidRDefault="00FA2C70" w:rsidP="00FA2C70">
      <w:pPr>
        <w:pStyle w:val="ListParagraph"/>
        <w:spacing w:before="100" w:beforeAutospacing="1" w:after="100" w:afterAutospacing="1"/>
        <w:jc w:val="both"/>
      </w:pPr>
    </w:p>
    <w:p w:rsidR="00FB1981" w:rsidRPr="00FB1981" w:rsidRDefault="00FB1981" w:rsidP="00FA2C70">
      <w:pPr>
        <w:pStyle w:val="ListParagraph"/>
        <w:numPr>
          <w:ilvl w:val="0"/>
          <w:numId w:val="23"/>
        </w:numPr>
        <w:spacing w:before="100" w:beforeAutospacing="1" w:after="100" w:afterAutospacing="1"/>
        <w:jc w:val="both"/>
      </w:pPr>
      <w:r w:rsidRPr="00FB1981">
        <w:lastRenderedPageBreak/>
        <w:t>A 91-year woman was facing foreclosure on her home. When she was finally able to pay the overdue amount, the lender refused to accept the money and dismiss the foreclosure complaint. A SLH attorney was able to assist her with filing a pro se motion for extension of time to answer. She was then able to enlist the help of a volunteer attorney who had the foreclosure case dismissed and saved her home.</w:t>
      </w:r>
    </w:p>
    <w:p w:rsidR="00FB1981" w:rsidRPr="00FB1981" w:rsidRDefault="00FB1981" w:rsidP="00FB1981">
      <w:pPr>
        <w:jc w:val="both"/>
      </w:pPr>
      <w:r w:rsidRPr="00FB1981">
        <w:t>In addition to providing assistance on priority legal issues, SLHs under Model Approaches have been very successful in reaching low income populations with over 75 percent of older clients having incomes at or below 200 percent of the federal poverty guidelines.  Minority</w:t>
      </w:r>
      <w:r w:rsidRPr="00FB1981">
        <w:rPr>
          <w:vertAlign w:val="superscript"/>
        </w:rPr>
        <w:footnoteReference w:id="110"/>
      </w:r>
      <w:r w:rsidRPr="00FB1981">
        <w:t xml:space="preserve"> clients receiving assistance through SLHs in the last reporting period constituted 26 percent of all clients served. These figures illustrate the effectiveness of Model Approaches states in reaching key target populations under the OAA with much needed “priority” legal assistance.</w:t>
      </w:r>
    </w:p>
    <w:p w:rsidR="00FB1981" w:rsidRPr="00FB1981" w:rsidRDefault="00FB1981" w:rsidP="00FB1981">
      <w:pPr>
        <w:jc w:val="both"/>
      </w:pPr>
    </w:p>
    <w:p w:rsidR="00FB1981" w:rsidRPr="00FB1981" w:rsidRDefault="00FB1981" w:rsidP="00FB1981">
      <w:pPr>
        <w:jc w:val="both"/>
      </w:pPr>
      <w:r w:rsidRPr="00FB1981">
        <w:t>An important purpose of the Model Approaches demonstrations is to position SLHs as coordinated and essential components of high quality and high impact legal service delivery systems that effectively target scarce resources to older persons most in need. Model Approaches partners across the country recognize the enormous value of the network relationships that have been forged in pursuit of essential project goals and objectives. Several Model Approaches states with completed grant award cycles demonstrate that SLHs continue to serve seniors as well-integrated and essential components of statewide senior legal services delivery systems, thus illustrating the sustainability of these projects beyond the demonstration period.</w:t>
      </w:r>
    </w:p>
    <w:p w:rsidR="00FB1981" w:rsidRPr="00FB1981" w:rsidRDefault="00FB1981" w:rsidP="00FB1981">
      <w:pPr>
        <w:jc w:val="both"/>
      </w:pPr>
    </w:p>
    <w:p w:rsidR="00FB1981" w:rsidRPr="00FB1981" w:rsidRDefault="00FB1981" w:rsidP="00FB1981">
      <w:pPr>
        <w:jc w:val="both"/>
      </w:pPr>
      <w:r w:rsidRPr="00FB1981">
        <w:t>In FY 2015, ACL awarded seven new Model Approaches Phase II grants to continue the evolution of legal service delivery systems implemented through previous Model Approaches projects towards higher levels of capacity, performance, and service delivery impact. Model Approaches Phase II projects are primarily focused on enhancing legal responses to complex issues that emerge from elder abuse, neglect, and financial exploitation. In addition, these new projects are expanding outreach to older adults in the greatest social or economic need and implementing legal data collection/reporting systems that demonstrate the beneficial impact of legal services on the independence, health, and financial security of older adults.</w:t>
      </w:r>
    </w:p>
    <w:p w:rsidR="00FB1981" w:rsidRDefault="00FB1981" w:rsidP="00FB1981"/>
    <w:p w:rsidR="00FB1981" w:rsidRPr="00FB1981" w:rsidRDefault="00FB1981" w:rsidP="00FB1981">
      <w:pPr>
        <w:keepNext/>
        <w:jc w:val="center"/>
        <w:outlineLvl w:val="1"/>
        <w:rPr>
          <w:b/>
          <w:bCs/>
          <w:iCs/>
          <w:sz w:val="28"/>
          <w:szCs w:val="28"/>
          <w:lang w:bidi="en-US"/>
        </w:rPr>
      </w:pPr>
      <w:bookmarkStart w:id="42" w:name="_Toc436738891"/>
      <w:r w:rsidRPr="00FB1981">
        <w:rPr>
          <w:b/>
          <w:bCs/>
          <w:iCs/>
          <w:sz w:val="28"/>
          <w:szCs w:val="28"/>
          <w:lang w:bidi="en-US"/>
        </w:rPr>
        <w:t>Pension Counseling and Information Program</w:t>
      </w:r>
      <w:bookmarkEnd w:id="42"/>
    </w:p>
    <w:p w:rsidR="00FB1981" w:rsidRPr="00FB1981" w:rsidRDefault="00FB1981" w:rsidP="00FB1981">
      <w:pPr>
        <w:jc w:val="center"/>
        <w:rPr>
          <w:b/>
          <w:i/>
        </w:rPr>
      </w:pPr>
      <w:r w:rsidRPr="00FA70B3">
        <w:rPr>
          <w:b/>
          <w:i/>
        </w:rPr>
        <w:t>(FY 2015: $</w:t>
      </w:r>
      <w:r w:rsidR="00F80145">
        <w:rPr>
          <w:b/>
          <w:i/>
        </w:rPr>
        <w:t>1,601,000</w:t>
      </w:r>
      <w:r w:rsidRPr="00FA70B3">
        <w:rPr>
          <w:b/>
          <w:i/>
        </w:rPr>
        <w:t>)</w:t>
      </w:r>
    </w:p>
    <w:p w:rsidR="00FB1981" w:rsidRPr="00FB1981" w:rsidRDefault="00FB1981" w:rsidP="00FB1981">
      <w:r w:rsidRPr="00FB1981">
        <w:t xml:space="preserve"> </w:t>
      </w:r>
    </w:p>
    <w:p w:rsidR="00FB1981" w:rsidRPr="00FB1981" w:rsidRDefault="00FB1981" w:rsidP="00FB1981">
      <w:pPr>
        <w:jc w:val="both"/>
      </w:pPr>
      <w:r w:rsidRPr="00FB1981">
        <w:t xml:space="preserve">In 1992, Congress directed AoA to develop demonstration projects specifically designed to help individuals with pension problems. These demonstrations were so successful that Congress established pension counseling as a permanent program under Title II of the OAA in 2000.  </w:t>
      </w:r>
    </w:p>
    <w:p w:rsidR="00FB1981" w:rsidRPr="00FB1981" w:rsidRDefault="00FB1981" w:rsidP="00FB1981">
      <w:pPr>
        <w:jc w:val="both"/>
      </w:pPr>
      <w:r w:rsidRPr="00FB1981">
        <w:t xml:space="preserve"> </w:t>
      </w:r>
    </w:p>
    <w:p w:rsidR="00FB1981" w:rsidRPr="00FB1981" w:rsidRDefault="00FB1981" w:rsidP="00FB1981">
      <w:pPr>
        <w:jc w:val="both"/>
      </w:pPr>
      <w:r w:rsidRPr="00FB1981">
        <w:t xml:space="preserve">Today, there are more than 700,000 private (as well as thousands of public) pension and retirement plans in the United States.  Thousands of Americans reach retirement age each year, only to be told that they will not receive the pension benefits they expected.  Because individuals have generally worked for several employers, which may have merged, sold their plans, or gone bankrupt, it is very difficult for most </w:t>
      </w:r>
      <w:r w:rsidR="00693AC3">
        <w:t>people</w:t>
      </w:r>
      <w:r w:rsidRPr="00FB1981">
        <w:t xml:space="preserve"> to know where to get help in finding out whether or not they are receiving all of the pension benefits to which they are entitled. </w:t>
      </w:r>
    </w:p>
    <w:p w:rsidR="00FB1981" w:rsidRPr="00FB1981" w:rsidRDefault="00FB1981" w:rsidP="00FB1981">
      <w:pPr>
        <w:jc w:val="both"/>
      </w:pPr>
      <w:r w:rsidRPr="00FB1981">
        <w:t xml:space="preserve"> </w:t>
      </w:r>
    </w:p>
    <w:p w:rsidR="00FB1981" w:rsidRPr="00FB1981" w:rsidRDefault="00FB1981" w:rsidP="00FB1981">
      <w:pPr>
        <w:jc w:val="both"/>
      </w:pPr>
      <w:r w:rsidRPr="00FB1981">
        <w:lastRenderedPageBreak/>
        <w:t xml:space="preserve">Benefits from employer-sponsored pensions and retirement savings plans are as critical today to the retirement security of Americans as they were when the pension counseling program was first established.  The pension questions which people face are just as complex, and good help is just as hard to find – even more so for those with only modest benefits at stake.  The role of the Pension Counseling and Information Program is to help ensure that all older Americans have access to the help they need in order to secure the employer-sponsored retirement benefits they have earned --- benefits that are critical to their ability to live independently and with dignity after a lifetime of productive employment.  The Pension Counseling and Information Program provides help that would be otherwise unavailable, by assisting individuals in understanding and exercising their pension rights.  The program promotes the financial security of older individuals by offering them the help they need to receive the pension benefits they have earned.  The income, in turn, provides increased opportunities for choice and independence.   </w:t>
      </w:r>
    </w:p>
    <w:p w:rsidR="00FB1981" w:rsidRPr="00FB1981" w:rsidRDefault="00FB1981" w:rsidP="00FB1981">
      <w:pPr>
        <w:jc w:val="both"/>
      </w:pPr>
      <w:r w:rsidRPr="00FB1981">
        <w:t xml:space="preserve"> </w:t>
      </w:r>
    </w:p>
    <w:p w:rsidR="00FB1981" w:rsidRPr="00FB1981" w:rsidRDefault="00FB1981" w:rsidP="00FB1981">
      <w:pPr>
        <w:jc w:val="both"/>
      </w:pPr>
      <w:r w:rsidRPr="00FB1981">
        <w:t>AoA currently funds six regional counseling projects covering 30 states and a technical assistance resource center to assist older Americans in accessing information about their retirement benefits and to help them negotiate with former employers or pension plans for due compensation.  The projects help with cases that private pension professionals are reluctant to take, where the benefits in question are small, as is often the case with low-income workers and those with limited English proficiency, but to whom these modest amounts make a huge difference in maintaining their financial security and independence.</w:t>
      </w:r>
    </w:p>
    <w:p w:rsidR="00FB1981" w:rsidRPr="00FB1981" w:rsidRDefault="00FB1981" w:rsidP="00FB1981">
      <w:pPr>
        <w:jc w:val="both"/>
      </w:pPr>
      <w:r w:rsidRPr="00FB1981">
        <w:t xml:space="preserve"> </w:t>
      </w:r>
    </w:p>
    <w:p w:rsidR="00FB1981" w:rsidRPr="00FB1981" w:rsidRDefault="00FB1981" w:rsidP="00FB1981">
      <w:pPr>
        <w:jc w:val="both"/>
      </w:pPr>
      <w:r w:rsidRPr="00FB1981">
        <w:t xml:space="preserve">Data show that since the program’s inception in 1993, the Pension Counseling projects have recovered $216 million in retirement benefits for more than 55,000 retirees.  With a relatively small federal investment, the program has brought in a return of more than $9.00 for every </w:t>
      </w:r>
      <w:r w:rsidR="00A11A75">
        <w:t>f</w:t>
      </w:r>
      <w:r w:rsidRPr="00FB1981">
        <w:t xml:space="preserve">ederal dollar invested in the program.  These recoveries demonstrate that pension counseling is not only necessary, but that it can be provided efficiently and effectively.  </w:t>
      </w:r>
    </w:p>
    <w:p w:rsidR="00FB1981" w:rsidRPr="00FB1981" w:rsidRDefault="00FB1981" w:rsidP="00FB1981">
      <w:pPr>
        <w:jc w:val="both"/>
      </w:pPr>
    </w:p>
    <w:p w:rsidR="00FB1981" w:rsidRPr="00FB1981" w:rsidRDefault="00FB1981" w:rsidP="00FB1981">
      <w:pPr>
        <w:jc w:val="both"/>
      </w:pPr>
      <w:r w:rsidRPr="00FB1981">
        <w:t>The impact of the projects’ work is best illustrated through presentation of cases successfully resolved during this period:</w:t>
      </w:r>
    </w:p>
    <w:p w:rsidR="00FB1981" w:rsidRPr="00FB1981" w:rsidRDefault="00FB1981" w:rsidP="00FB1981">
      <w:pPr>
        <w:jc w:val="both"/>
      </w:pPr>
      <w:r w:rsidRPr="00FB1981">
        <w:t xml:space="preserve">                </w:t>
      </w:r>
    </w:p>
    <w:p w:rsidR="00307727" w:rsidRDefault="00FB1981" w:rsidP="00307727">
      <w:pPr>
        <w:pStyle w:val="ListParagraph"/>
        <w:numPr>
          <w:ilvl w:val="0"/>
          <w:numId w:val="29"/>
        </w:numPr>
        <w:spacing w:after="200"/>
        <w:jc w:val="both"/>
      </w:pPr>
      <w:r w:rsidRPr="00FB1981">
        <w:t>A low-income individual contacted one of the regional counseling projects to report her receipt of an alarming overpayment notice just before the winter holidays.  Already struggling to make ends meet, she’d been informed that her pension had been overpaid for the past seven years, that her monthly benefit would be terminated, and that she owed $32,000 to the pension plan to recoup the overpaid funds.  When the counseling project attorney began examining the validity of the alleged overpayment, it was discovered that the underlying calculation of the client’s benefit may have been incorrect and involved a lapse in the fiduciary duties of the plan administrator in calculating and administering the pension plan. These inquir</w:t>
      </w:r>
      <w:r w:rsidR="00FB28C8">
        <w:t>i</w:t>
      </w:r>
      <w:r w:rsidRPr="00FB1981">
        <w:t xml:space="preserve">es led the plan administrator to cease recoupment efforts, waive the overpayment, and reassure the </w:t>
      </w:r>
      <w:r w:rsidR="00693AC3">
        <w:t xml:space="preserve">relieved </w:t>
      </w:r>
      <w:r w:rsidRPr="00FB1981">
        <w:t xml:space="preserve">client that her case was closed.  </w:t>
      </w:r>
    </w:p>
    <w:p w:rsidR="00FB1981" w:rsidRPr="00FB1981" w:rsidRDefault="00FB1981" w:rsidP="00307727">
      <w:pPr>
        <w:pStyle w:val="ListParagraph"/>
        <w:spacing w:after="200"/>
        <w:jc w:val="both"/>
      </w:pPr>
      <w:r w:rsidRPr="00FB1981">
        <w:t xml:space="preserve">     </w:t>
      </w:r>
    </w:p>
    <w:p w:rsidR="00307727" w:rsidRDefault="00FB1981" w:rsidP="00307727">
      <w:pPr>
        <w:pStyle w:val="ListParagraph"/>
        <w:numPr>
          <w:ilvl w:val="0"/>
          <w:numId w:val="29"/>
        </w:numPr>
        <w:spacing w:after="200"/>
        <w:jc w:val="both"/>
      </w:pPr>
      <w:r w:rsidRPr="00FB1981">
        <w:t>A widow had been informed that she wasn’t entitled to a share of her husband’s pension because the plan had no record that he</w:t>
      </w:r>
      <w:r w:rsidR="00FB28C8">
        <w:t xml:space="preserve"> had been</w:t>
      </w:r>
      <w:r w:rsidRPr="00FB1981">
        <w:t xml:space="preserve"> married.  Though they had been married for 53 years, she and her husband had been separated at the time of his death, but not divorced. The project submitted a</w:t>
      </w:r>
      <w:r w:rsidR="00A11A75">
        <w:t xml:space="preserve"> </w:t>
      </w:r>
      <w:r w:rsidRPr="00FB1981">
        <w:t xml:space="preserve">corrected death certificate as well as </w:t>
      </w:r>
      <w:r>
        <w:t xml:space="preserve">appropriate </w:t>
      </w:r>
      <w:r w:rsidRPr="00FB1981">
        <w:t xml:space="preserve">records. After nearly five years of work on the widow’s behalf, the counseling project finally succeeded in getting her rightful benefits to her: a retroactive payment of over $86,000 and a pension of $850 per month.                                                                                                                       </w:t>
      </w:r>
    </w:p>
    <w:p w:rsidR="00307727" w:rsidRDefault="00307727" w:rsidP="00307727">
      <w:pPr>
        <w:pStyle w:val="ListParagraph"/>
      </w:pPr>
    </w:p>
    <w:p w:rsidR="00FB1981" w:rsidRPr="00FB1981" w:rsidRDefault="00FB1981" w:rsidP="00307727">
      <w:pPr>
        <w:pStyle w:val="ListParagraph"/>
        <w:numPr>
          <w:ilvl w:val="0"/>
          <w:numId w:val="29"/>
        </w:numPr>
        <w:spacing w:after="200"/>
        <w:jc w:val="both"/>
      </w:pPr>
      <w:r w:rsidRPr="00FB1981">
        <w:lastRenderedPageBreak/>
        <w:t xml:space="preserve">A senior veteran in Hawaii had been pursuing a pension benefit from a union plan for several years.  He first contacted the plan at age 60 and was told to call back at age 65 to commence his benefits.  When he did so, he was told that he was not vested due to a permanent break in service and that there was no benefit available to him.  The client’s break in service was a result of time that he spent serving in the military, which is time that should be protected pursuant to both the pension plan and federal law.  However, it was not until this was researched and reported by the pension counseling project that the plan ultimately awarded his earned pension benefit of $506 per month, retroactive to age 65. This relatively small pension which he had earned has significantly impacted this veteran’s economic security and quality of life.  </w:t>
      </w:r>
    </w:p>
    <w:p w:rsidR="00FB1981" w:rsidRPr="00FB1981" w:rsidRDefault="00FB1981" w:rsidP="00FB1981">
      <w:pPr>
        <w:jc w:val="both"/>
      </w:pPr>
      <w:r w:rsidRPr="00FB1981">
        <w:t xml:space="preserve">Even when Pension Counseling projects are unable to secure benefits for clients, the information and assistance the projects provide can bring peace of mind to </w:t>
      </w:r>
      <w:r w:rsidR="00693AC3">
        <w:t xml:space="preserve">financially </w:t>
      </w:r>
      <w:r w:rsidRPr="00FB1981">
        <w:t>vulnerable elderly individuals, often after months or even years of searching for answers.  By producing fact sheets and other publications, hosting websites, and conducting outreach and education efforts, Pension Counseling projects also provide indirect services to tens of thousands of seniors and their families.</w:t>
      </w:r>
    </w:p>
    <w:p w:rsidR="00FB1981" w:rsidRPr="00FB1981" w:rsidRDefault="00FB1981" w:rsidP="00FB1981">
      <w:pPr>
        <w:jc w:val="both"/>
      </w:pPr>
      <w:r w:rsidRPr="00FB1981">
        <w:t xml:space="preserve"> </w:t>
      </w:r>
    </w:p>
    <w:p w:rsidR="00FB1981" w:rsidRPr="00FB1981" w:rsidRDefault="00FB1981" w:rsidP="00FB1981">
      <w:pPr>
        <w:jc w:val="both"/>
      </w:pPr>
      <w:r w:rsidRPr="00FB1981">
        <w:t xml:space="preserve">A critical component of the program is the National Pension Assistance Resource Center (the Center) which provides support to the counseling projects and facilitates coordination among the projects, SUAs, AAAs, legal services providers, and others by providing substantive legal training, technical assistance, and programmatic consultation.  The Center also assists individuals in states not currently served by AoA’s pension counseling projects by providing nationwide referral and information services, both by telephone and through the </w:t>
      </w:r>
      <w:hyperlink r:id="rId16" w:history="1">
        <w:r w:rsidRPr="004E55F0">
          <w:rPr>
            <w:rStyle w:val="Hyperlink"/>
            <w:i/>
          </w:rPr>
          <w:t>PensionHelp America</w:t>
        </w:r>
        <w:r w:rsidRPr="004E55F0">
          <w:rPr>
            <w:rStyle w:val="Hyperlink"/>
          </w:rPr>
          <w:t xml:space="preserve"> website</w:t>
        </w:r>
      </w:hyperlink>
      <w:r w:rsidRPr="00FB1981">
        <w:t>, a nationwide database of pension assista</w:t>
      </w:r>
      <w:r w:rsidR="004E55F0">
        <w:t>nce and information resources</w:t>
      </w:r>
      <w:r w:rsidRPr="00FB1981">
        <w:t xml:space="preserve">.  </w:t>
      </w:r>
    </w:p>
    <w:p w:rsidR="00FB1981" w:rsidRPr="00FB1981" w:rsidRDefault="00FB1981" w:rsidP="00FB1981">
      <w:pPr>
        <w:spacing w:after="200" w:line="276" w:lineRule="auto"/>
        <w:rPr>
          <w:rFonts w:asciiTheme="minorHAnsi" w:eastAsiaTheme="minorHAnsi" w:hAnsiTheme="minorHAnsi" w:cstheme="minorBidi"/>
          <w:sz w:val="22"/>
          <w:szCs w:val="22"/>
        </w:rPr>
      </w:pPr>
    </w:p>
    <w:p w:rsidR="00E264D2" w:rsidRPr="00E264D2" w:rsidRDefault="00FB1981" w:rsidP="00E264D2">
      <w:pPr>
        <w:jc w:val="center"/>
        <w:rPr>
          <w:b/>
          <w:sz w:val="28"/>
          <w:szCs w:val="28"/>
        </w:rPr>
      </w:pPr>
      <w:r>
        <w:rPr>
          <w:spacing w:val="-2"/>
        </w:rPr>
        <w:br w:type="page"/>
      </w:r>
      <w:bookmarkStart w:id="43" w:name="_Toc436738895"/>
      <w:bookmarkStart w:id="44" w:name="_Toc284574154"/>
      <w:bookmarkEnd w:id="32"/>
      <w:bookmarkEnd w:id="33"/>
      <w:bookmarkEnd w:id="34"/>
      <w:r w:rsidR="00E264D2" w:rsidRPr="00E264D2">
        <w:rPr>
          <w:b/>
          <w:sz w:val="28"/>
          <w:szCs w:val="28"/>
        </w:rPr>
        <w:lastRenderedPageBreak/>
        <w:t>Long-Term Care Ombudsman Program</w:t>
      </w:r>
    </w:p>
    <w:p w:rsidR="00E264D2" w:rsidRPr="000F7881" w:rsidRDefault="00E264D2" w:rsidP="00E264D2">
      <w:pPr>
        <w:jc w:val="center"/>
        <w:rPr>
          <w:b/>
        </w:rPr>
      </w:pPr>
      <w:r w:rsidRPr="000F7881">
        <w:rPr>
          <w:b/>
        </w:rPr>
        <w:t>(FY 2015:</w:t>
      </w:r>
      <w:r w:rsidR="000F7881">
        <w:rPr>
          <w:b/>
        </w:rPr>
        <w:t xml:space="preserve"> </w:t>
      </w:r>
      <w:r w:rsidRPr="000F7881">
        <w:rPr>
          <w:b/>
        </w:rPr>
        <w:t>$15,8</w:t>
      </w:r>
      <w:r w:rsidR="000F7881" w:rsidRPr="000F7881">
        <w:rPr>
          <w:b/>
        </w:rPr>
        <w:t>85</w:t>
      </w:r>
      <w:r w:rsidRPr="000F7881">
        <w:rPr>
          <w:b/>
        </w:rPr>
        <w:t>,051)</w:t>
      </w:r>
      <w:r w:rsidRPr="000F7881">
        <w:rPr>
          <w:b/>
          <w:vertAlign w:val="superscript"/>
        </w:rPr>
        <w:footnoteReference w:id="111"/>
      </w:r>
    </w:p>
    <w:p w:rsidR="00E264D2" w:rsidRPr="00E264D2" w:rsidRDefault="00E264D2" w:rsidP="00E264D2">
      <w:pPr>
        <w:jc w:val="both"/>
      </w:pPr>
    </w:p>
    <w:p w:rsidR="00E264D2" w:rsidRPr="00E264D2" w:rsidRDefault="00E264D2" w:rsidP="00E264D2">
      <w:pPr>
        <w:jc w:val="both"/>
      </w:pPr>
      <w:r w:rsidRPr="00E264D2">
        <w:t xml:space="preserve">States’ Long-Term Care (LTC) Ombudsman programs work to resolve problems related to the health, safety, welfare and rights of individuals who live in long-term care facilities (i.e. nursing homes, board and care, assisted living and other residential care communities). LTC Ombudsman programs promote policies and consumer protections to improve long-term services and supports (LTSS) at facility, local, state and national levels and play an important role in elder justice networks.  </w:t>
      </w:r>
    </w:p>
    <w:p w:rsidR="00E264D2" w:rsidRPr="00E264D2" w:rsidRDefault="00E264D2" w:rsidP="00E264D2">
      <w:pPr>
        <w:jc w:val="both"/>
      </w:pPr>
    </w:p>
    <w:p w:rsidR="00E264D2" w:rsidRPr="00E264D2" w:rsidRDefault="00E264D2" w:rsidP="00E264D2">
      <w:pPr>
        <w:jc w:val="both"/>
      </w:pPr>
      <w:r w:rsidRPr="00E264D2">
        <w:t>Begun in 1972 as a demonstration program, today the LTC Ombudsman program operates in all states, the District of Columbia, Puerto Rico and Guam, under the authorization of the OAA.   Each state has an Office of the State LTC Ombudsman (Office), headed by a full-time State LTC Ombudsman (Ombudsman) who directs the program statewide.  Across the nation, staff and thousands of volunteers are designated by Ombudsmen to directly serve residents.</w:t>
      </w:r>
    </w:p>
    <w:p w:rsidR="00E264D2" w:rsidRPr="00E264D2" w:rsidRDefault="00E264D2" w:rsidP="00E264D2">
      <w:pPr>
        <w:jc w:val="both"/>
      </w:pPr>
    </w:p>
    <w:p w:rsidR="00E264D2" w:rsidRPr="00E264D2" w:rsidRDefault="00E264D2" w:rsidP="00E264D2">
      <w:pPr>
        <w:jc w:val="both"/>
      </w:pPr>
      <w:r w:rsidRPr="00E264D2">
        <w:t>The OAA requires LTC Ombudsman programs to:</w:t>
      </w:r>
    </w:p>
    <w:p w:rsidR="00E264D2" w:rsidRPr="00E264D2" w:rsidRDefault="00E264D2" w:rsidP="00FA2C70">
      <w:pPr>
        <w:numPr>
          <w:ilvl w:val="0"/>
          <w:numId w:val="10"/>
        </w:numPr>
        <w:jc w:val="both"/>
      </w:pPr>
      <w:r w:rsidRPr="00E264D2">
        <w:t>Identify, investigate and resolve complaints made by or on behalf of residents;</w:t>
      </w:r>
    </w:p>
    <w:p w:rsidR="00E264D2" w:rsidRPr="00E264D2" w:rsidRDefault="00E264D2" w:rsidP="00FA2C70">
      <w:pPr>
        <w:numPr>
          <w:ilvl w:val="0"/>
          <w:numId w:val="10"/>
        </w:numPr>
        <w:jc w:val="both"/>
      </w:pPr>
      <w:r w:rsidRPr="00E264D2">
        <w:t>Provide information to residents about long-term services and supports;</w:t>
      </w:r>
    </w:p>
    <w:p w:rsidR="00E264D2" w:rsidRPr="00E264D2" w:rsidRDefault="00E264D2" w:rsidP="00FA2C70">
      <w:pPr>
        <w:numPr>
          <w:ilvl w:val="0"/>
          <w:numId w:val="10"/>
        </w:numPr>
        <w:jc w:val="both"/>
      </w:pPr>
      <w:r w:rsidRPr="00E264D2">
        <w:t>Ensure that residents have regular and timely access to ombudsman services;</w:t>
      </w:r>
    </w:p>
    <w:p w:rsidR="00E264D2" w:rsidRPr="00E264D2" w:rsidRDefault="00E264D2" w:rsidP="00FA2C70">
      <w:pPr>
        <w:numPr>
          <w:ilvl w:val="0"/>
          <w:numId w:val="10"/>
        </w:numPr>
        <w:jc w:val="both"/>
      </w:pPr>
      <w:r w:rsidRPr="00E264D2">
        <w:t>Represent the interests of residents before governmental agencies and seek administrative, legal and other remedies to protect residents; and</w:t>
      </w:r>
    </w:p>
    <w:p w:rsidR="00E264D2" w:rsidRPr="00E264D2" w:rsidRDefault="00E264D2" w:rsidP="00FA2C70">
      <w:pPr>
        <w:numPr>
          <w:ilvl w:val="0"/>
          <w:numId w:val="10"/>
        </w:numPr>
        <w:jc w:val="both"/>
      </w:pPr>
      <w:r w:rsidRPr="00E264D2">
        <w:t>Analyze, comment on, and recommend changes in laws and regulations pertaining to the health, safety, welfare and rights of residents.</w:t>
      </w:r>
    </w:p>
    <w:p w:rsidR="00E264D2" w:rsidRPr="00E264D2" w:rsidRDefault="00E264D2" w:rsidP="00E264D2">
      <w:pPr>
        <w:jc w:val="both"/>
      </w:pPr>
    </w:p>
    <w:p w:rsidR="00E264D2" w:rsidRPr="00E264D2" w:rsidRDefault="00E264D2" w:rsidP="00E264D2">
      <w:pPr>
        <w:jc w:val="both"/>
        <w:rPr>
          <w:u w:val="single"/>
        </w:rPr>
      </w:pPr>
      <w:r w:rsidRPr="00E264D2">
        <w:rPr>
          <w:u w:val="single"/>
        </w:rPr>
        <w:t>Improving and Evaluating Ombudsman Program Services</w:t>
      </w:r>
    </w:p>
    <w:p w:rsidR="00E264D2" w:rsidRPr="00E264D2" w:rsidRDefault="00E264D2" w:rsidP="00E264D2">
      <w:pPr>
        <w:jc w:val="both"/>
      </w:pPr>
    </w:p>
    <w:p w:rsidR="00E264D2" w:rsidRPr="00E264D2" w:rsidRDefault="00E264D2" w:rsidP="00E264D2">
      <w:pPr>
        <w:jc w:val="both"/>
      </w:pPr>
      <w:r w:rsidRPr="00E264D2">
        <w:t>In order to improve the quality and effectiveness of LTC Ombudsman program services to residents, ACL is undertaking two historic activities: 1) promulgation of the LTC Ombudsman program rule and 2) implementation of a LTC Ombudsman program evaluation.</w:t>
      </w:r>
    </w:p>
    <w:p w:rsidR="00E264D2" w:rsidRPr="00E264D2" w:rsidRDefault="00E264D2" w:rsidP="00E264D2">
      <w:pPr>
        <w:jc w:val="both"/>
      </w:pPr>
    </w:p>
    <w:p w:rsidR="00E264D2" w:rsidRPr="00E264D2" w:rsidRDefault="00E264D2" w:rsidP="00E264D2">
      <w:pPr>
        <w:jc w:val="both"/>
      </w:pPr>
      <w:r w:rsidRPr="00E264D2">
        <w:t>1.  Promulgation of the State Long-Term Care Ombudsman Programs Rule</w:t>
      </w:r>
    </w:p>
    <w:p w:rsidR="00E264D2" w:rsidRPr="00E264D2" w:rsidRDefault="00E264D2" w:rsidP="00E264D2">
      <w:pPr>
        <w:jc w:val="both"/>
      </w:pPr>
    </w:p>
    <w:p w:rsidR="00E264D2" w:rsidRPr="00E264D2" w:rsidRDefault="00E264D2" w:rsidP="00E264D2">
      <w:pPr>
        <w:jc w:val="both"/>
      </w:pPr>
      <w:r w:rsidRPr="00E264D2">
        <w:t xml:space="preserve">ACL has published regulations to guide states in their implementation of the Ombudsman program and provide clarity on a number of provisions of the OAA (45 CFR Part 1324).  The final rule was published in February 2015 and became effective on July 1, 2016.  Since the program’s creation in the 1970s, states have been required to develop and operate Ombudsman programs but, in the absence of regulations, there has been significant variation in the effectiveness of these programs and adherence to OAA requirements among states. The development of more formal guidance to improve consistency and quality of program implementation had been called for by members of Congress, a wide variety of stakeholders, reports by the Institute of Medicine and HHS/OIG, and media reports.  </w:t>
      </w:r>
    </w:p>
    <w:p w:rsidR="00E264D2" w:rsidRPr="00E264D2" w:rsidRDefault="00E264D2" w:rsidP="00E264D2">
      <w:pPr>
        <w:jc w:val="both"/>
      </w:pPr>
    </w:p>
    <w:p w:rsidR="00E264D2" w:rsidRPr="00E264D2" w:rsidRDefault="00E264D2" w:rsidP="00E264D2">
      <w:pPr>
        <w:jc w:val="both"/>
      </w:pPr>
      <w:r w:rsidRPr="00E264D2">
        <w:t xml:space="preserve">Since the rule’s publication, ACL staff and the National Ombudsman Resource Center have been providing training, technical assistance and support to facilitate its implementation by states. States have been reviewing their laws, regulations, and policies to determine if they meet the </w:t>
      </w:r>
      <w:r w:rsidRPr="00E264D2">
        <w:lastRenderedPageBreak/>
        <w:t>requirements of the new rule, as ACL has proactively offered customized technical assistance to each state to assist in assuring compliance. ACL anticipates that states’ implementation of this rule will strengthen the ability of Ombudsman programs to be effective problem-solvers for older adults and people with disabilities who live in our nation’s long-term care facilities.</w:t>
      </w:r>
    </w:p>
    <w:p w:rsidR="00E264D2" w:rsidRPr="00E264D2" w:rsidRDefault="00E264D2" w:rsidP="00E264D2">
      <w:pPr>
        <w:jc w:val="both"/>
      </w:pPr>
    </w:p>
    <w:p w:rsidR="00E264D2" w:rsidRPr="00E264D2" w:rsidRDefault="00E264D2" w:rsidP="00E264D2">
      <w:pPr>
        <w:jc w:val="both"/>
      </w:pPr>
      <w:r w:rsidRPr="00E264D2">
        <w:t>2.  Evaluation of the Ombudsman Program</w:t>
      </w:r>
    </w:p>
    <w:p w:rsidR="00E264D2" w:rsidRPr="00E264D2" w:rsidRDefault="00E264D2" w:rsidP="00E264D2">
      <w:pPr>
        <w:jc w:val="both"/>
      </w:pPr>
    </w:p>
    <w:p w:rsidR="00E264D2" w:rsidRPr="00E264D2" w:rsidRDefault="00E264D2" w:rsidP="00E264D2">
      <w:pPr>
        <w:jc w:val="both"/>
      </w:pPr>
      <w:r w:rsidRPr="00E264D2">
        <w:t>ACL is currently evaluating the LTC Ombudsman program to better understand service delivery.  This process evaluation will help ACL  lay the foundation to eventually evaluate program impact and efficiency. Not since the Institute of Medicine’s 1995 report,</w:t>
      </w:r>
      <w:r w:rsidRPr="00E264D2">
        <w:rPr>
          <w:vertAlign w:val="superscript"/>
        </w:rPr>
        <w:footnoteReference w:id="112"/>
      </w:r>
      <w:r w:rsidRPr="00E264D2">
        <w:t xml:space="preserve"> has there been a comprehensive, national evaluation of the Ombudsman program.  ACL completed its evaluation design in 2013 </w:t>
      </w:r>
      <w:r w:rsidRPr="00E264D2">
        <w:rPr>
          <w:vertAlign w:val="superscript"/>
        </w:rPr>
        <w:footnoteReference w:id="113"/>
      </w:r>
      <w:r w:rsidRPr="00E264D2">
        <w:t xml:space="preserve"> and anticipates completion of the process evaluation in 2017. </w:t>
      </w:r>
    </w:p>
    <w:p w:rsidR="00E264D2" w:rsidRPr="00E264D2" w:rsidRDefault="00E264D2" w:rsidP="00E264D2">
      <w:pPr>
        <w:jc w:val="both"/>
      </w:pPr>
    </w:p>
    <w:p w:rsidR="00E264D2" w:rsidRPr="00E264D2" w:rsidRDefault="00E264D2" w:rsidP="00E264D2">
      <w:pPr>
        <w:jc w:val="both"/>
        <w:rPr>
          <w:u w:val="single"/>
        </w:rPr>
      </w:pPr>
      <w:r w:rsidRPr="00E264D2">
        <w:rPr>
          <w:u w:val="single"/>
        </w:rPr>
        <w:t>Complaint Investigation and Resolution</w:t>
      </w:r>
    </w:p>
    <w:p w:rsidR="00E264D2" w:rsidRPr="00E264D2" w:rsidRDefault="00E264D2" w:rsidP="00E264D2">
      <w:pPr>
        <w:jc w:val="both"/>
      </w:pPr>
    </w:p>
    <w:p w:rsidR="00E264D2" w:rsidRPr="00E264D2" w:rsidRDefault="00E264D2" w:rsidP="00E264D2">
      <w:pPr>
        <w:jc w:val="both"/>
      </w:pPr>
      <w:r w:rsidRPr="00E264D2">
        <w:t xml:space="preserve">LTC Ombudsman programs provide a person-centered alternative dispute resolution service, working with (or on behalf of) long-term care facility residents to resolve complaints.    </w:t>
      </w:r>
    </w:p>
    <w:p w:rsidR="00E264D2" w:rsidRPr="00E264D2" w:rsidRDefault="00E264D2" w:rsidP="00FA2C70">
      <w:pPr>
        <w:numPr>
          <w:ilvl w:val="0"/>
          <w:numId w:val="11"/>
        </w:numPr>
        <w:jc w:val="both"/>
      </w:pPr>
      <w:r w:rsidRPr="00E264D2">
        <w:t>Ombudsman programs nationwide completed resolution work on 199,238 complaints.</w:t>
      </w:r>
      <w:r w:rsidRPr="00E264D2">
        <w:rPr>
          <w:vertAlign w:val="superscript"/>
        </w:rPr>
        <w:footnoteReference w:id="114"/>
      </w:r>
      <w:r w:rsidRPr="00E264D2">
        <w:t xml:space="preserve"> </w:t>
      </w:r>
    </w:p>
    <w:p w:rsidR="00E264D2" w:rsidRPr="00E264D2" w:rsidRDefault="00E264D2" w:rsidP="00E264D2">
      <w:pPr>
        <w:jc w:val="both"/>
      </w:pPr>
    </w:p>
    <w:p w:rsidR="00E264D2" w:rsidRPr="00E264D2" w:rsidRDefault="00E264D2" w:rsidP="00FA2C70">
      <w:pPr>
        <w:numPr>
          <w:ilvl w:val="0"/>
          <w:numId w:val="11"/>
        </w:numPr>
        <w:jc w:val="both"/>
      </w:pPr>
      <w:r w:rsidRPr="00E264D2">
        <w:t xml:space="preserve">74 percent of these complaints were resolved (or partially resolved) to the satisfaction of the resident or complainant.  </w:t>
      </w:r>
    </w:p>
    <w:p w:rsidR="00E264D2" w:rsidRPr="00E264D2" w:rsidRDefault="00E264D2" w:rsidP="00E264D2">
      <w:pPr>
        <w:jc w:val="both"/>
      </w:pPr>
      <w:r w:rsidRPr="00E264D2">
        <w:t xml:space="preserve"> </w:t>
      </w:r>
    </w:p>
    <w:p w:rsidR="00E264D2" w:rsidRPr="00E264D2" w:rsidRDefault="00E264D2" w:rsidP="00FA2C70">
      <w:pPr>
        <w:numPr>
          <w:ilvl w:val="0"/>
          <w:numId w:val="11"/>
        </w:numPr>
        <w:jc w:val="both"/>
      </w:pPr>
      <w:r w:rsidRPr="00E264D2">
        <w:t>Of the 129,559 cases closed by Ombudsman programs,</w:t>
      </w:r>
      <w:r w:rsidRPr="00E264D2">
        <w:rPr>
          <w:vertAlign w:val="superscript"/>
        </w:rPr>
        <w:footnoteReference w:id="115"/>
      </w:r>
      <w:r w:rsidRPr="00E264D2">
        <w:t xml:space="preserve"> 92,868 (71 percent) were associated with nursing facility settings.  Of the remaining cases, 33,445 (26 percent) were related to board and care, assisted living or other residential care communities; and 3,246 (three percent) were associated with non-facility settings or services to facility residents by an outside provider. </w:t>
      </w:r>
    </w:p>
    <w:p w:rsidR="00E264D2" w:rsidRPr="00E264D2" w:rsidRDefault="00E264D2" w:rsidP="00E264D2">
      <w:pPr>
        <w:jc w:val="both"/>
      </w:pPr>
    </w:p>
    <w:p w:rsidR="00E264D2" w:rsidRPr="00E264D2" w:rsidRDefault="00E264D2" w:rsidP="00FA2C70">
      <w:pPr>
        <w:numPr>
          <w:ilvl w:val="0"/>
          <w:numId w:val="11"/>
        </w:numPr>
        <w:jc w:val="both"/>
      </w:pPr>
      <w:r w:rsidRPr="00E264D2">
        <w:t>Most cases were initiated by residents themselves or friends and relatives of residents.  Residents initiated 42 percent of cases in nursing facilities and 32 percent in board and care, assisted living and other residential care communities.</w:t>
      </w:r>
    </w:p>
    <w:p w:rsidR="00E264D2" w:rsidRPr="00E264D2" w:rsidRDefault="00E264D2" w:rsidP="00E264D2">
      <w:pPr>
        <w:jc w:val="both"/>
      </w:pPr>
    </w:p>
    <w:p w:rsidR="00E264D2" w:rsidRPr="00E264D2" w:rsidRDefault="00E264D2" w:rsidP="00FA2C70">
      <w:pPr>
        <w:numPr>
          <w:ilvl w:val="0"/>
          <w:numId w:val="11"/>
        </w:numPr>
        <w:jc w:val="both"/>
      </w:pPr>
      <w:r w:rsidRPr="00E264D2">
        <w:t xml:space="preserve">Ombudsman programs proactively identified issues in 12 percent of cases in all settings. </w:t>
      </w:r>
    </w:p>
    <w:p w:rsidR="00E264D2" w:rsidRPr="00E264D2" w:rsidRDefault="00E264D2" w:rsidP="00E264D2">
      <w:pPr>
        <w:jc w:val="both"/>
      </w:pPr>
      <w:r w:rsidRPr="00E264D2">
        <w:t xml:space="preserve"> </w:t>
      </w:r>
    </w:p>
    <w:p w:rsidR="00E264D2" w:rsidRPr="00E264D2" w:rsidRDefault="00E264D2" w:rsidP="00E264D2">
      <w:pPr>
        <w:jc w:val="both"/>
      </w:pPr>
      <w:r w:rsidRPr="00E264D2">
        <w:t xml:space="preserve">The five most frequent nursing facility complaints handled by Ombudsman programs were: </w:t>
      </w:r>
    </w:p>
    <w:p w:rsidR="00E264D2" w:rsidRPr="00E264D2" w:rsidRDefault="00E264D2" w:rsidP="00FA2C70">
      <w:pPr>
        <w:numPr>
          <w:ilvl w:val="0"/>
          <w:numId w:val="12"/>
        </w:numPr>
        <w:jc w:val="both"/>
      </w:pPr>
      <w:r w:rsidRPr="00E264D2">
        <w:t>Improper eviction or inadequate discharge/planning;</w:t>
      </w:r>
    </w:p>
    <w:p w:rsidR="00E264D2" w:rsidRPr="00E264D2" w:rsidRDefault="00E264D2" w:rsidP="00FA2C70">
      <w:pPr>
        <w:numPr>
          <w:ilvl w:val="0"/>
          <w:numId w:val="12"/>
        </w:numPr>
        <w:jc w:val="both"/>
      </w:pPr>
      <w:r w:rsidRPr="00E264D2">
        <w:t>Unanswered requests for assistance;</w:t>
      </w:r>
    </w:p>
    <w:p w:rsidR="00E264D2" w:rsidRPr="00E264D2" w:rsidRDefault="00E264D2" w:rsidP="00FA2C70">
      <w:pPr>
        <w:numPr>
          <w:ilvl w:val="0"/>
          <w:numId w:val="12"/>
        </w:numPr>
        <w:jc w:val="both"/>
      </w:pPr>
      <w:r w:rsidRPr="00E264D2">
        <w:t>Lack of respect for residents, poor staff attitudes;</w:t>
      </w:r>
    </w:p>
    <w:p w:rsidR="00E264D2" w:rsidRPr="00E264D2" w:rsidRDefault="00E264D2" w:rsidP="00FA2C70">
      <w:pPr>
        <w:numPr>
          <w:ilvl w:val="0"/>
          <w:numId w:val="12"/>
        </w:numPr>
        <w:contextualSpacing/>
      </w:pPr>
      <w:r w:rsidRPr="00E264D2">
        <w:t xml:space="preserve">Administration and organization of medications; and </w:t>
      </w:r>
    </w:p>
    <w:p w:rsidR="00E264D2" w:rsidRPr="00E264D2" w:rsidRDefault="00E264D2" w:rsidP="00FA2C70">
      <w:pPr>
        <w:numPr>
          <w:ilvl w:val="0"/>
          <w:numId w:val="12"/>
        </w:numPr>
        <w:jc w:val="both"/>
      </w:pPr>
      <w:r w:rsidRPr="00E264D2">
        <w:t>Quality of life, specifically resident/roommate conflict.</w:t>
      </w:r>
    </w:p>
    <w:p w:rsidR="00E264D2" w:rsidRPr="00E264D2" w:rsidRDefault="00E264D2" w:rsidP="00E264D2">
      <w:pPr>
        <w:jc w:val="both"/>
      </w:pPr>
    </w:p>
    <w:p w:rsidR="00E264D2" w:rsidRPr="00E264D2" w:rsidRDefault="00E264D2" w:rsidP="00E264D2">
      <w:pPr>
        <w:jc w:val="both"/>
      </w:pPr>
      <w:r w:rsidRPr="00E264D2">
        <w:lastRenderedPageBreak/>
        <w:t>The five most frequent complaints in board and care, assisted living, and other residential care communities handled by Ombudsman programs were:</w:t>
      </w:r>
    </w:p>
    <w:p w:rsidR="00E264D2" w:rsidRPr="00E264D2" w:rsidRDefault="00E264D2" w:rsidP="00FA2C70">
      <w:pPr>
        <w:numPr>
          <w:ilvl w:val="0"/>
          <w:numId w:val="13"/>
        </w:numPr>
        <w:contextualSpacing/>
      </w:pPr>
      <w:r w:rsidRPr="00E264D2">
        <w:t>Administration and organization of medications;</w:t>
      </w:r>
    </w:p>
    <w:p w:rsidR="00E264D2" w:rsidRPr="00E264D2" w:rsidRDefault="00E264D2" w:rsidP="00FA2C70">
      <w:pPr>
        <w:numPr>
          <w:ilvl w:val="0"/>
          <w:numId w:val="13"/>
        </w:numPr>
        <w:jc w:val="both"/>
      </w:pPr>
      <w:r w:rsidRPr="00E264D2">
        <w:t>Improper eviction or inadequate discharge/planning;</w:t>
      </w:r>
    </w:p>
    <w:p w:rsidR="00E264D2" w:rsidRPr="00E264D2" w:rsidRDefault="00E264D2" w:rsidP="00FA2C70">
      <w:pPr>
        <w:numPr>
          <w:ilvl w:val="0"/>
          <w:numId w:val="13"/>
        </w:numPr>
        <w:jc w:val="both"/>
      </w:pPr>
      <w:r w:rsidRPr="00E264D2">
        <w:t>Quality, quantity, variation and choice of food;</w:t>
      </w:r>
    </w:p>
    <w:p w:rsidR="00E264D2" w:rsidRPr="00E264D2" w:rsidRDefault="00E264D2" w:rsidP="00FA2C70">
      <w:pPr>
        <w:numPr>
          <w:ilvl w:val="0"/>
          <w:numId w:val="13"/>
        </w:numPr>
        <w:jc w:val="both"/>
      </w:pPr>
      <w:r w:rsidRPr="00E264D2">
        <w:t>Lack of respect for residents, poor staff attitudes; and</w:t>
      </w:r>
    </w:p>
    <w:p w:rsidR="00E264D2" w:rsidRPr="00E264D2" w:rsidRDefault="00E264D2" w:rsidP="00FA2C70">
      <w:pPr>
        <w:numPr>
          <w:ilvl w:val="0"/>
          <w:numId w:val="13"/>
        </w:numPr>
        <w:jc w:val="both"/>
      </w:pPr>
      <w:r w:rsidRPr="00E264D2">
        <w:t xml:space="preserve">Building or equipment in disrepair or hazardous.  </w:t>
      </w:r>
    </w:p>
    <w:p w:rsidR="00E264D2" w:rsidRPr="00E264D2" w:rsidRDefault="00E264D2" w:rsidP="00E264D2">
      <w:pPr>
        <w:jc w:val="both"/>
      </w:pPr>
    </w:p>
    <w:p w:rsidR="00E264D2" w:rsidRPr="00E264D2" w:rsidRDefault="00E264D2" w:rsidP="00E264D2">
      <w:pPr>
        <w:jc w:val="both"/>
      </w:pPr>
      <w:r w:rsidRPr="00E264D2">
        <w:rPr>
          <w:u w:val="single"/>
        </w:rPr>
        <w:t>Issue Example: Financial Exploitation</w:t>
      </w:r>
    </w:p>
    <w:p w:rsidR="00E264D2" w:rsidRPr="00E264D2" w:rsidRDefault="00E264D2" w:rsidP="00E264D2">
      <w:pPr>
        <w:jc w:val="both"/>
      </w:pPr>
    </w:p>
    <w:p w:rsidR="00E264D2" w:rsidRPr="00E264D2" w:rsidRDefault="00E264D2" w:rsidP="00E264D2">
      <w:pPr>
        <w:jc w:val="both"/>
      </w:pPr>
      <w:r w:rsidRPr="00E264D2">
        <w:t xml:space="preserve">LTC Ombudsman programs worked to resolve nearly 8,800 complaints related to financial exploitation and theft/missing property in FY 2015. </w:t>
      </w:r>
      <w:r w:rsidRPr="00E264D2">
        <w:rPr>
          <w:vertAlign w:val="superscript"/>
        </w:rPr>
        <w:footnoteReference w:id="116"/>
      </w:r>
      <w:r w:rsidRPr="00E264D2">
        <w:t xml:space="preserve">  Approximately 25% of these (2,241) related to allegations of financial exploitation by a family member or other third party.  </w:t>
      </w:r>
    </w:p>
    <w:p w:rsidR="00E264D2" w:rsidRPr="00E264D2" w:rsidRDefault="00E264D2" w:rsidP="00E264D2">
      <w:pPr>
        <w:jc w:val="both"/>
      </w:pPr>
    </w:p>
    <w:p w:rsidR="00E264D2" w:rsidRPr="00E264D2" w:rsidRDefault="00E264D2" w:rsidP="00E264D2">
      <w:pPr>
        <w:jc w:val="both"/>
      </w:pPr>
      <w:r w:rsidRPr="00E264D2">
        <w:t>LTC Ombudsman programs serve a distinctive elder justice function in supporting residents who face abuse, neglect or exploitation.  When an Ombudsman program receives any complaint (including an abuse-related complaint), its goal is to resolve the complaint to the resident’s satisfaction, but not to serve as the official finder of fact to substantiate whether the abuse or other allegation occurred. In most states, the substantiation determination is made either by adult protective services and/or the licensing and regulatory agency.</w:t>
      </w:r>
    </w:p>
    <w:p w:rsidR="00E264D2" w:rsidRPr="00E264D2" w:rsidRDefault="00E264D2" w:rsidP="00E264D2">
      <w:pPr>
        <w:jc w:val="both"/>
      </w:pPr>
    </w:p>
    <w:p w:rsidR="00E264D2" w:rsidRPr="00E264D2" w:rsidRDefault="00E264D2" w:rsidP="00E264D2">
      <w:pPr>
        <w:jc w:val="both"/>
        <w:rPr>
          <w:u w:val="single"/>
        </w:rPr>
      </w:pPr>
      <w:r w:rsidRPr="00E264D2">
        <w:rPr>
          <w:noProof/>
          <w:u w:val="single"/>
        </w:rPr>
        <mc:AlternateContent>
          <mc:Choice Requires="wps">
            <w:drawing>
              <wp:anchor distT="0" distB="0" distL="114300" distR="114300" simplePos="0" relativeHeight="251659264" behindDoc="0" locked="0" layoutInCell="1" allowOverlap="1" wp14:anchorId="1E194D73" wp14:editId="4BBD0793">
                <wp:simplePos x="0" y="0"/>
                <wp:positionH relativeFrom="column">
                  <wp:align>center</wp:align>
                </wp:positionH>
                <wp:positionV relativeFrom="paragraph">
                  <wp:posOffset>0</wp:posOffset>
                </wp:positionV>
                <wp:extent cx="5867400" cy="3218213"/>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18213"/>
                        </a:xfrm>
                        <a:prstGeom prst="rect">
                          <a:avLst/>
                        </a:prstGeom>
                        <a:solidFill>
                          <a:srgbClr val="FFFFFF"/>
                        </a:solidFill>
                        <a:ln w="9525">
                          <a:solidFill>
                            <a:srgbClr val="000000"/>
                          </a:solidFill>
                          <a:miter lim="800000"/>
                          <a:headEnd/>
                          <a:tailEnd/>
                        </a:ln>
                      </wps:spPr>
                      <wps:txbx>
                        <w:txbxContent>
                          <w:p w:rsidR="00853662" w:rsidRDefault="00853662" w:rsidP="00E264D2"/>
                          <w:p w:rsidR="00853662" w:rsidRDefault="00853662" w:rsidP="00E264D2">
                            <w:r>
                              <w:t>An individual living in an assisted living facility’s secured memory care unit contacted the Ombudsman program for assistance. Her health and mental status had improved significantly since admission, but her living situation had remained unchanged. The resident’s daughter had admitted her to the facility, arranged for a new physician, secured health care and financial powers of attorney, was living in the resident’s home, and did not expect nor want her mother to return home.  The Ombudsman program, with permission of the resident, worked together with adult protective services and the resident’s attorney to explore the legality of the powers of attorney and to assist the resident in finding a different physician.  The new physician evaluated the resident, recommending that she could return home with supportive services.  The daughter then successfully petitioned to become guardian of the resident.  The resident’s attorney successfully challenged the guardianship, and the court ordered the daughter to move out of her mother’s home so the resident was eventually able to return to her home.  Throughout this long, seven-month process, the resident was supported and encouraged by the Ombudsman program. According to her, “As I learned, residents do have rights.  Your ombudsman can empower you so that you can exercise those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E194D73" id="_x0000_t202" coordsize="21600,21600" o:spt="202" path="m,l,21600r21600,l21600,xe">
                <v:stroke joinstyle="miter"/>
                <v:path gradientshapeok="t" o:connecttype="rect"/>
              </v:shapetype>
              <v:shape id="Text Box 2" o:spid="_x0000_s1026" type="#_x0000_t202" style="position:absolute;left:0;text-align:left;margin-left:0;margin-top:0;width:462pt;height:253.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">
                <v:textbox>
                  <w:txbxContent>
                    <w:p w:rsidR="00853662" w:rsidRDefault="00853662" w:rsidP="00E264D2"/>
                    <w:p w:rsidR="00853662" w:rsidRDefault="00853662" w:rsidP="00E264D2">
                      <w:r>
                        <w:t xml:space="preserve">An individual living in an assisted living facility’s secured memory care unit contacted the Ombudsman program for assistance. Her health and mental status had improved significantly since admission, but her living situation had remained unchanged. The </w:t>
                      </w:r>
                      <w:proofErr w:type="spellStart"/>
                      <w:r>
                        <w:t>resident’s</w:t>
                      </w:r>
                      <w:proofErr w:type="spellEnd"/>
                      <w:r>
                        <w:t xml:space="preserve"> daughter had admitted her to the facility, arranged for a new physician, secured health care and financial powers of attorney, was living in the resident’s home, and did not expect nor want her mother to return home.  The Ombudsman program, with permission of the resident, worked together with adult protective services and the resident’s attorney to explore the legality of the powers of attorney and to assist the resident in finding a different physician.  The new physician evaluated the resident, recommending that she could return home with supportive services.  The daughter then successfully petitioned to become guardian of the resident.  The resident’s attorney successfully challenged the guardianship, and the court ordered the daughter to move out of her mother’s home so the resident was eventually able to return to her home.  Throughout this long, seven-month process, the resident was supported and encouraged by the Ombudsman program. According to her, “As I learned, residents do have rights.  Your ombudsman can empower you so that you can exercise those rights.”</w:t>
                      </w:r>
                    </w:p>
                  </w:txbxContent>
                </v:textbox>
              </v:shape>
            </w:pict>
          </mc:Fallback>
        </mc:AlternateContent>
      </w: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r w:rsidRPr="00E264D2">
        <w:rPr>
          <w:noProof/>
        </w:rPr>
        <w:lastRenderedPageBreak/>
        <mc:AlternateContent>
          <mc:Choice Requires="wps">
            <w:drawing>
              <wp:anchor distT="0" distB="0" distL="114300" distR="114300" simplePos="0" relativeHeight="251660288" behindDoc="0" locked="0" layoutInCell="1" allowOverlap="1" wp14:anchorId="2DD8613A" wp14:editId="6116CB34">
                <wp:simplePos x="0" y="0"/>
                <wp:positionH relativeFrom="column">
                  <wp:align>center</wp:align>
                </wp:positionH>
                <wp:positionV relativeFrom="paragraph">
                  <wp:posOffset>0</wp:posOffset>
                </wp:positionV>
                <wp:extent cx="5724896" cy="4928260"/>
                <wp:effectExtent l="0" t="0" r="28575"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896" cy="4928260"/>
                        </a:xfrm>
                        <a:prstGeom prst="rect">
                          <a:avLst/>
                        </a:prstGeom>
                        <a:solidFill>
                          <a:srgbClr val="FFFFFF"/>
                        </a:solidFill>
                        <a:ln w="9525">
                          <a:solidFill>
                            <a:srgbClr val="000000"/>
                          </a:solidFill>
                          <a:miter lim="800000"/>
                          <a:headEnd/>
                          <a:tailEnd/>
                        </a:ln>
                      </wps:spPr>
                      <wps:txbx>
                        <w:txbxContent>
                          <w:p w:rsidR="00853662" w:rsidRDefault="00853662" w:rsidP="00E264D2"/>
                          <w:p w:rsidR="00853662" w:rsidRDefault="00853662" w:rsidP="00E264D2">
                            <w:r>
                              <w:t xml:space="preserve">A nursing facility contacted the Ombudsman program to report that it was unable to reach the private, professional guardian for 15 residents.  The Ombudsman program visited the residents, several of whom were able to be interviewed.  The guardian had moved hundreds of miles away and was failing to fulfill her duty to meet resident needs.  Some residents owned no shoes; some could not access their personal funds or had missing funds; and the guardian was not participating in resident care plans. The Ombudsman program identified similar situations with the same guardian while visiting another nursing facility.  Residents in both facilities were at risk of losing Medicaid eligibility and of discharge for non-payment. The Ombudsman program notified the judge who had appointed the guardian and filed complaints with the Judicial Branch Certification Commission (JBCC), which certifies private, professional guardians. The Ombudsman program provided needed evidence as the investigation proceeded and persistently followed up to ensure the investigation did not slip through the cracks as the compliance investigator changed.  Assuring facility management that the Ombudsman program was tracking the case was essential to protecting the residents from discharge, for which the facilities had a valid reason to give 30 day notice. </w:t>
                            </w:r>
                          </w:p>
                          <w:p w:rsidR="00853662" w:rsidRDefault="00853662" w:rsidP="00E264D2"/>
                          <w:p w:rsidR="00853662" w:rsidRDefault="00853662" w:rsidP="00E264D2">
                            <w:r>
                              <w:t>Upon request of the judge, the Ombudsman program convened a meeting of stakeholders to develop options for the residents. Ultimately, the court, based largely on Ombudsman program evidence, replaced the guardian, put in place more limited guardianship orders, and/or fully restored the rights of each resident.  The JBCC imposed a penalty on the guardian and refused to renew the guardian’s certification. Referral was made to the district attorney for consideration of criminal prosecution of the guardian. After ten months of intensive work, the residents’ financial and personal situations were stabilized. Residents had their basic needs met and were able to access their own money; and the facilities were being paid, resolving the risk of discharge.</w:t>
                            </w:r>
                          </w:p>
                          <w:p w:rsidR="00853662" w:rsidRDefault="00853662" w:rsidP="00E26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D8613A" id="_x0000_s1027" type="#_x0000_t202" style="position:absolute;left:0;text-align:left;margin-left:0;margin-top:0;width:450.8pt;height:388.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">
                <v:textbox>
                  <w:txbxContent>
                    <w:p w:rsidR="00853662" w:rsidRDefault="00853662" w:rsidP="00E264D2"/>
                    <w:p w:rsidR="00853662" w:rsidRDefault="00853662" w:rsidP="00E264D2">
                      <w:r>
                        <w:t xml:space="preserve">A nursing facility contacted the Ombudsman program to report that it was unable to reach the private, professional guardian for 15 residents.  The Ombudsman program visited the residents, several of whom were able to be interviewed.  The guardian had moved hundreds of miles away and was failing to fulfill her duty to meet resident needs.  Some residents owned no shoes; some could not access their personal funds or had missing funds; and the guardian was not participating in resident care plans. The Ombudsman program identified similar situations with the same guardian while visiting another nursing facility.  Residents in both facilities were at risk of losing Medicaid eligibility and of discharge for non-payment. The Ombudsman program notified the judge who had appointed the guardian and filed complaints with the Judicial Branch Certification Commission (JBCC), which certifies private, professional guardians. The Ombudsman program provided needed evidence as the investigation proceeded and persistently followed up to ensure the investigation did not slip through the cracks as the compliance investigator changed.  Assuring facility management that the Ombudsman program was tracking the case was essential to protecting the residents from discharge, for which the facilities had a valid reason to give 30 day notice. </w:t>
                      </w:r>
                    </w:p>
                    <w:p w:rsidR="00853662" w:rsidRDefault="00853662" w:rsidP="00E264D2"/>
                    <w:p w:rsidR="00853662" w:rsidRDefault="00853662" w:rsidP="00E264D2">
                      <w:r>
                        <w:t>Upon request of the judge, the Ombudsman program convened a meeting of stakeholders to develop options for the residents. Ultimately, the court, based largely on Ombudsman program evidence, replaced the guardian, put in place more limited guardianship orders, and/or fully restored the rights of each resident.  The JBCC imposed a penalty on the guardian and refused to renew the guardian’s certification. Referral was made to the district attorney for consideration of criminal prosecution of the guardian. After ten months of intensive work, the residents’ financial and personal situations were stabilized. Residents had their basic needs met and were able to access their own money; and the facilities were being paid, resolving the risk of discharge.</w:t>
                      </w:r>
                    </w:p>
                    <w:p w:rsidR="00853662" w:rsidRDefault="00853662" w:rsidP="00E264D2"/>
                  </w:txbxContent>
                </v:textbox>
              </v:shape>
            </w:pict>
          </mc:Fallback>
        </mc:AlternateContent>
      </w: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r w:rsidRPr="00E264D2">
        <w:rPr>
          <w:noProof/>
        </w:rPr>
        <mc:AlternateContent>
          <mc:Choice Requires="wps">
            <w:drawing>
              <wp:anchor distT="0" distB="0" distL="114300" distR="114300" simplePos="0" relativeHeight="251661312" behindDoc="0" locked="0" layoutInCell="1" allowOverlap="1" wp14:anchorId="427E81A0" wp14:editId="0A3FBB02">
                <wp:simplePos x="0" y="0"/>
                <wp:positionH relativeFrom="column">
                  <wp:align>center</wp:align>
                </wp:positionH>
                <wp:positionV relativeFrom="paragraph">
                  <wp:posOffset>0</wp:posOffset>
                </wp:positionV>
                <wp:extent cx="5688899" cy="2707574"/>
                <wp:effectExtent l="0" t="0" r="2667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899" cy="2707574"/>
                        </a:xfrm>
                        <a:prstGeom prst="rect">
                          <a:avLst/>
                        </a:prstGeom>
                        <a:solidFill>
                          <a:srgbClr val="FFFFFF"/>
                        </a:solidFill>
                        <a:ln w="9525">
                          <a:solidFill>
                            <a:srgbClr val="000000"/>
                          </a:solidFill>
                          <a:miter lim="800000"/>
                          <a:headEnd/>
                          <a:tailEnd/>
                        </a:ln>
                      </wps:spPr>
                      <wps:txbx>
                        <w:txbxContent>
                          <w:p w:rsidR="00853662" w:rsidRDefault="00853662" w:rsidP="00E264D2"/>
                          <w:p w:rsidR="00853662" w:rsidRDefault="00853662" w:rsidP="00E264D2">
                            <w:r w:rsidRPr="00176149">
                              <w:t xml:space="preserve">When an assisted living resident received an involuntary discharge notice, he contacted the Ombudsman program for assistance.  The notice stated that the reason for discharge was due to the resident’s conversations about the admission contract and complaints made to state and city officials about the assisted living operations.  Upon admission, the resident had been required to sign an admission contract agreeing to work at the facility for his spending money and to turn over his food stamps and other public benefits to the provider.  The resident stated that he signed this contract because he had been homeless prior to admission and was afraid of remaining homeless. The Ombudsman program helped link the resident to  civil legal services, meanwhile requesting investigations by the state’s fraud examiner and assisted living regulatory authority.  While the investigations are ongoing, the resident has able to move to another assisted living facility where he is no longer subject to forced labor or retaliation for making complaints to authorities; and he is able to collect his public benefits.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7E81A0" id="_x0000_s1028" type="#_x0000_t202" style="position:absolute;left:0;text-align:left;margin-left:0;margin-top:0;width:447.95pt;height:213.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">
                <v:textbox>
                  <w:txbxContent>
                    <w:p w:rsidR="00853662" w:rsidRDefault="00853662" w:rsidP="00E264D2"/>
                    <w:p w:rsidR="00853662" w:rsidRDefault="00853662" w:rsidP="00E264D2">
                      <w:r w:rsidRPr="00176149">
                        <w:t xml:space="preserve">When an assisted living resident received an involuntary discharge notice, he contacted the Ombudsman program for assistance.  The notice stated that the reason for discharge was due to the resident’s conversations about the admission contract and complaints made to state and city officials about the assisted living operations.  Upon admission, the resident had been required to sign an admission contract agreeing to work at the facility for his spending money and to turn over his food stamps and other public benefits to the provider.  The resident stated that he signed this contract because he had been homeless prior to admission and was afraid of remaining homeless. The Ombudsman program helped link the resident </w:t>
                      </w:r>
                      <w:proofErr w:type="gramStart"/>
                      <w:r w:rsidRPr="00176149">
                        <w:t>to  civil</w:t>
                      </w:r>
                      <w:proofErr w:type="gramEnd"/>
                      <w:r w:rsidRPr="00176149">
                        <w:t xml:space="preserve"> legal services, meanwhile requesting investigations by the state’s fraud examiner and assisted living regulatory authority.  While the investigations are ongoing, the resident has able to move to another assisted living facility where he is no longer subject to forced labor or retaliation for making complaints to authorities; and he is able to collect his public benefits.  </w:t>
                      </w:r>
                    </w:p>
                  </w:txbxContent>
                </v:textbox>
              </v:shape>
            </w:pict>
          </mc:Fallback>
        </mc:AlternateContent>
      </w: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rPr>
          <w:rFonts w:ascii="BatangChe" w:eastAsia="BatangChe" w:hAnsi="BatangChe"/>
        </w:rPr>
      </w:pPr>
    </w:p>
    <w:p w:rsidR="00E264D2" w:rsidRPr="00E264D2" w:rsidRDefault="00E264D2" w:rsidP="00E264D2">
      <w:pPr>
        <w:jc w:val="both"/>
        <w:rPr>
          <w:rFonts w:ascii="BatangChe" w:eastAsia="BatangChe" w:hAnsi="BatangChe"/>
        </w:rPr>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rPr>
          <w:u w:val="single"/>
        </w:rPr>
      </w:pPr>
    </w:p>
    <w:p w:rsidR="00E264D2" w:rsidRPr="00E264D2" w:rsidRDefault="00E264D2" w:rsidP="00E264D2">
      <w:pPr>
        <w:jc w:val="both"/>
      </w:pPr>
    </w:p>
    <w:p w:rsidR="00E264D2" w:rsidRPr="00E264D2" w:rsidRDefault="00E264D2" w:rsidP="00E264D2">
      <w:pPr>
        <w:jc w:val="both"/>
      </w:pPr>
      <w:r w:rsidRPr="00E264D2">
        <w:lastRenderedPageBreak/>
        <w:t xml:space="preserve">Ombudsman programs use the expertise acquired through complaint resolution to inform their work to advocate for systems change.  Examples of systems-level work to prevent or respond to financial exploitation of residents included: </w:t>
      </w:r>
    </w:p>
    <w:p w:rsidR="00E264D2" w:rsidRPr="00E264D2" w:rsidRDefault="00E264D2" w:rsidP="00E264D2">
      <w:pPr>
        <w:jc w:val="both"/>
      </w:pPr>
    </w:p>
    <w:p w:rsidR="00E264D2" w:rsidRPr="00E264D2" w:rsidRDefault="00E264D2" w:rsidP="00FA2C70">
      <w:pPr>
        <w:numPr>
          <w:ilvl w:val="0"/>
          <w:numId w:val="16"/>
        </w:numPr>
        <w:contextualSpacing/>
        <w:jc w:val="both"/>
      </w:pPr>
      <w:r w:rsidRPr="00E264D2">
        <w:t>Engagement in multidisciplinary teams to improve state elder justice policies, including working to improve criminal investigations and prosecution of financial crimes against older adults.</w:t>
      </w:r>
    </w:p>
    <w:p w:rsidR="00E264D2" w:rsidRPr="00E264D2" w:rsidRDefault="00E264D2" w:rsidP="00E264D2">
      <w:pPr>
        <w:ind w:left="720"/>
        <w:contextualSpacing/>
        <w:jc w:val="both"/>
      </w:pPr>
    </w:p>
    <w:p w:rsidR="00E264D2" w:rsidRPr="00E264D2" w:rsidRDefault="00E264D2" w:rsidP="00FA2C70">
      <w:pPr>
        <w:numPr>
          <w:ilvl w:val="0"/>
          <w:numId w:val="16"/>
        </w:numPr>
        <w:contextualSpacing/>
        <w:jc w:val="both"/>
      </w:pPr>
      <w:r w:rsidRPr="00E264D2">
        <w:t>Advocating to strengthen state laws/systems for guardianship, conservatorship, and/or powers of attorney through support of legislation and work on multidisciplinary groups.</w:t>
      </w:r>
    </w:p>
    <w:p w:rsidR="00E264D2" w:rsidRPr="00E264D2" w:rsidRDefault="00E264D2" w:rsidP="00E264D2">
      <w:pPr>
        <w:jc w:val="both"/>
        <w:rPr>
          <w:u w:val="single"/>
        </w:rPr>
      </w:pPr>
    </w:p>
    <w:p w:rsidR="00E264D2" w:rsidRPr="00E264D2" w:rsidRDefault="00E264D2" w:rsidP="00E264D2">
      <w:pPr>
        <w:jc w:val="both"/>
        <w:rPr>
          <w:u w:val="single"/>
        </w:rPr>
      </w:pPr>
      <w:r w:rsidRPr="00E264D2">
        <w:rPr>
          <w:u w:val="single"/>
        </w:rPr>
        <w:t>Ombudsman Program Activities</w:t>
      </w:r>
    </w:p>
    <w:p w:rsidR="00E264D2" w:rsidRPr="00E264D2" w:rsidRDefault="00E264D2" w:rsidP="00E264D2">
      <w:pPr>
        <w:jc w:val="both"/>
      </w:pPr>
    </w:p>
    <w:p w:rsidR="00E264D2" w:rsidRPr="00E264D2" w:rsidRDefault="00E264D2" w:rsidP="00E264D2">
      <w:pPr>
        <w:jc w:val="both"/>
      </w:pPr>
      <w:r w:rsidRPr="00E264D2">
        <w:t>In addition to resolving complaints, LTC Ombudsman programs provide services which prevent problems for residents, and perform other services. In FY 2015, LTC Ombudsman program staff and volunteers nationwide provided:</w:t>
      </w:r>
    </w:p>
    <w:p w:rsidR="00E264D2" w:rsidRPr="00E264D2" w:rsidRDefault="00E264D2" w:rsidP="00E264D2">
      <w:pPr>
        <w:jc w:val="both"/>
      </w:pPr>
    </w:p>
    <w:p w:rsidR="00E264D2" w:rsidRPr="00E264D2" w:rsidRDefault="00E264D2" w:rsidP="00FA2C70">
      <w:pPr>
        <w:numPr>
          <w:ilvl w:val="0"/>
          <w:numId w:val="18"/>
        </w:numPr>
        <w:contextualSpacing/>
        <w:jc w:val="both"/>
      </w:pPr>
      <w:r w:rsidRPr="00E264D2">
        <w:t>Routine visits  to  ensure that residents have regular access to ombudsman services,  visiting residents of  63 percent of nursing facilities and 26 percent of board and care, assisted living, and other residential care communities at least quarterly.</w:t>
      </w:r>
    </w:p>
    <w:p w:rsidR="00E264D2" w:rsidRPr="00E264D2" w:rsidRDefault="00E264D2" w:rsidP="00E264D2">
      <w:pPr>
        <w:ind w:left="720"/>
        <w:contextualSpacing/>
        <w:jc w:val="both"/>
      </w:pPr>
    </w:p>
    <w:p w:rsidR="00E264D2" w:rsidRPr="00E264D2" w:rsidRDefault="00E264D2" w:rsidP="00FA2C70">
      <w:pPr>
        <w:numPr>
          <w:ilvl w:val="0"/>
          <w:numId w:val="18"/>
        </w:numPr>
        <w:contextualSpacing/>
        <w:jc w:val="both"/>
      </w:pPr>
      <w:r w:rsidRPr="00E264D2">
        <w:t xml:space="preserve">398,057 consultations and information to individuals, including on: finding long-term services and supports options; Medicaid eligibility; discharge and eviction rights; and other federal and state policies impacting residents. </w:t>
      </w:r>
    </w:p>
    <w:p w:rsidR="00E264D2" w:rsidRPr="00E264D2" w:rsidRDefault="00E264D2" w:rsidP="00E264D2">
      <w:pPr>
        <w:jc w:val="both"/>
      </w:pPr>
    </w:p>
    <w:p w:rsidR="00E264D2" w:rsidRPr="00E264D2" w:rsidRDefault="00E264D2" w:rsidP="00FA2C70">
      <w:pPr>
        <w:numPr>
          <w:ilvl w:val="0"/>
          <w:numId w:val="18"/>
        </w:numPr>
        <w:contextualSpacing/>
        <w:jc w:val="both"/>
      </w:pPr>
      <w:r w:rsidRPr="00E264D2">
        <w:t>122,213 consultations to long-term care facility staff, including on: residents’ rights, person-centered care practices, and discharge and eviction issues.</w:t>
      </w:r>
    </w:p>
    <w:p w:rsidR="00E264D2" w:rsidRPr="00E264D2" w:rsidRDefault="00E264D2" w:rsidP="00E264D2">
      <w:pPr>
        <w:jc w:val="both"/>
      </w:pPr>
    </w:p>
    <w:p w:rsidR="00E264D2" w:rsidRPr="00E264D2" w:rsidRDefault="00E264D2" w:rsidP="00FA2C70">
      <w:pPr>
        <w:numPr>
          <w:ilvl w:val="0"/>
          <w:numId w:val="18"/>
        </w:numPr>
        <w:contextualSpacing/>
        <w:jc w:val="both"/>
      </w:pPr>
      <w:r w:rsidRPr="00E264D2">
        <w:t>Resident and family council support, providing technical assistance, training and information to resident councils (22,281 sessions) and family councils (2,073 sessions);</w:t>
      </w:r>
    </w:p>
    <w:p w:rsidR="00E264D2" w:rsidRPr="00E264D2" w:rsidRDefault="00E264D2" w:rsidP="00E264D2">
      <w:pPr>
        <w:jc w:val="both"/>
      </w:pPr>
    </w:p>
    <w:p w:rsidR="00E264D2" w:rsidRPr="00E264D2" w:rsidRDefault="00E264D2" w:rsidP="00FA2C70">
      <w:pPr>
        <w:numPr>
          <w:ilvl w:val="0"/>
          <w:numId w:val="18"/>
        </w:numPr>
        <w:contextualSpacing/>
        <w:jc w:val="both"/>
      </w:pPr>
      <w:r w:rsidRPr="00E264D2">
        <w:t>Training of long-term care facility staff (5,054 sessions);</w:t>
      </w:r>
    </w:p>
    <w:p w:rsidR="00E264D2" w:rsidRPr="00E264D2" w:rsidRDefault="00E264D2" w:rsidP="00E264D2">
      <w:pPr>
        <w:jc w:val="both"/>
      </w:pPr>
    </w:p>
    <w:p w:rsidR="00E264D2" w:rsidRPr="00E264D2" w:rsidRDefault="00E264D2" w:rsidP="00FA2C70">
      <w:pPr>
        <w:numPr>
          <w:ilvl w:val="0"/>
          <w:numId w:val="18"/>
        </w:numPr>
        <w:contextualSpacing/>
        <w:jc w:val="both"/>
      </w:pPr>
      <w:r w:rsidRPr="00E264D2">
        <w:t xml:space="preserve">Community education (10,821 sessions); and </w:t>
      </w:r>
    </w:p>
    <w:p w:rsidR="00E264D2" w:rsidRPr="00E264D2" w:rsidRDefault="00E264D2" w:rsidP="00E264D2">
      <w:pPr>
        <w:jc w:val="both"/>
      </w:pPr>
    </w:p>
    <w:p w:rsidR="00E264D2" w:rsidRPr="00E264D2" w:rsidRDefault="00E264D2" w:rsidP="00FA2C70">
      <w:pPr>
        <w:numPr>
          <w:ilvl w:val="0"/>
          <w:numId w:val="18"/>
        </w:numPr>
        <w:contextualSpacing/>
        <w:jc w:val="both"/>
      </w:pPr>
      <w:r w:rsidRPr="00E264D2">
        <w:t>Coordination with licensing and survey entities, participating in 16,043 facility survey-related activities as resident advocates.</w:t>
      </w:r>
    </w:p>
    <w:p w:rsidR="00E264D2" w:rsidRPr="00E264D2" w:rsidRDefault="00E264D2" w:rsidP="00E264D2">
      <w:pPr>
        <w:jc w:val="both"/>
      </w:pPr>
    </w:p>
    <w:p w:rsidR="00E264D2" w:rsidRPr="00E264D2" w:rsidRDefault="00E264D2" w:rsidP="00E264D2">
      <w:pPr>
        <w:jc w:val="both"/>
        <w:rPr>
          <w:u w:val="single"/>
        </w:rPr>
      </w:pPr>
      <w:r w:rsidRPr="00E264D2">
        <w:rPr>
          <w:u w:val="single"/>
        </w:rPr>
        <w:t>Systems Advocacy</w:t>
      </w:r>
    </w:p>
    <w:p w:rsidR="00E264D2" w:rsidRPr="00E264D2" w:rsidRDefault="00E264D2" w:rsidP="00E264D2">
      <w:pPr>
        <w:jc w:val="both"/>
      </w:pPr>
    </w:p>
    <w:p w:rsidR="00E264D2" w:rsidRPr="00E264D2" w:rsidRDefault="00E264D2" w:rsidP="00E264D2">
      <w:pPr>
        <w:jc w:val="both"/>
      </w:pPr>
      <w:r w:rsidRPr="00E264D2">
        <w:t>In addition to individual problem resolution, Ombudsman programs advocate for resident interests in public policy arenas.  The OAA requires Ombudsman programs to analyze, comment on and recommend changes in laws, regulations, and government policies and actions to benefit residents.  In addition to financial exploitation Ombudsman programs reported on work to address systems-level issues, including:</w:t>
      </w:r>
    </w:p>
    <w:p w:rsidR="00E264D2" w:rsidRPr="00E264D2" w:rsidRDefault="00E264D2" w:rsidP="00E264D2">
      <w:pPr>
        <w:jc w:val="both"/>
      </w:pPr>
    </w:p>
    <w:p w:rsidR="00E264D2" w:rsidRPr="00E264D2" w:rsidRDefault="00E264D2" w:rsidP="00FA2C70">
      <w:pPr>
        <w:numPr>
          <w:ilvl w:val="0"/>
          <w:numId w:val="17"/>
        </w:numPr>
        <w:contextualSpacing/>
        <w:jc w:val="both"/>
      </w:pPr>
      <w:r w:rsidRPr="00E264D2">
        <w:t xml:space="preserve">Resident access to sufficient facility-based and/or </w:t>
      </w:r>
      <w:r w:rsidR="00693AC3">
        <w:t xml:space="preserve">home and </w:t>
      </w:r>
      <w:r w:rsidRPr="00E264D2">
        <w:t xml:space="preserve">community-based services to support residents with mental health needs or who exhibit behavioral symptoms of dementia. This lack of access to needed services has significant implications for </w:t>
      </w:r>
      <w:r w:rsidRPr="00E264D2">
        <w:lastRenderedPageBreak/>
        <w:t>providers’ inappropriate use of antipsychotics and involuntary (and often illegal) evictions.</w:t>
      </w:r>
    </w:p>
    <w:p w:rsidR="00E264D2" w:rsidRPr="00E264D2" w:rsidRDefault="00E264D2" w:rsidP="00E264D2">
      <w:pPr>
        <w:ind w:left="720"/>
        <w:contextualSpacing/>
        <w:jc w:val="both"/>
      </w:pPr>
    </w:p>
    <w:p w:rsidR="00E264D2" w:rsidRPr="00E264D2" w:rsidRDefault="00E264D2" w:rsidP="00FA2C70">
      <w:pPr>
        <w:numPr>
          <w:ilvl w:val="0"/>
          <w:numId w:val="17"/>
        </w:numPr>
        <w:contextualSpacing/>
        <w:jc w:val="both"/>
      </w:pPr>
      <w:r w:rsidRPr="00E264D2">
        <w:t>Resident rights to receive visitors, and informing guardians and powers of attorney of the limitations in their authority to determine who may visit residents.</w:t>
      </w:r>
    </w:p>
    <w:p w:rsidR="00E264D2" w:rsidRPr="00E264D2" w:rsidRDefault="00E264D2" w:rsidP="00E264D2">
      <w:pPr>
        <w:jc w:val="both"/>
      </w:pPr>
    </w:p>
    <w:p w:rsidR="00E264D2" w:rsidRPr="00E264D2" w:rsidRDefault="00E264D2" w:rsidP="00FA2C70">
      <w:pPr>
        <w:numPr>
          <w:ilvl w:val="0"/>
          <w:numId w:val="17"/>
        </w:numPr>
        <w:contextualSpacing/>
        <w:jc w:val="both"/>
      </w:pPr>
      <w:r w:rsidRPr="00E264D2">
        <w:t xml:space="preserve">Adequate staffing in long-term care facilities. </w:t>
      </w:r>
    </w:p>
    <w:p w:rsidR="00E264D2" w:rsidRPr="00E264D2" w:rsidRDefault="00E264D2" w:rsidP="00E264D2">
      <w:pPr>
        <w:ind w:left="720"/>
        <w:contextualSpacing/>
      </w:pPr>
    </w:p>
    <w:p w:rsidR="00E264D2" w:rsidRPr="00E264D2" w:rsidRDefault="00E264D2" w:rsidP="00FA2C70">
      <w:pPr>
        <w:numPr>
          <w:ilvl w:val="0"/>
          <w:numId w:val="17"/>
        </w:numPr>
        <w:contextualSpacing/>
        <w:jc w:val="both"/>
      </w:pPr>
      <w:r w:rsidRPr="00E264D2">
        <w:t xml:space="preserve">Inadequate supply of </w:t>
      </w:r>
      <w:r w:rsidR="00693AC3">
        <w:t>home and community-based</w:t>
      </w:r>
      <w:r w:rsidRPr="00E264D2">
        <w:t xml:space="preserve"> services  and affordable housing options.</w:t>
      </w:r>
    </w:p>
    <w:p w:rsidR="00E264D2" w:rsidRPr="00E264D2" w:rsidRDefault="00E264D2" w:rsidP="00E264D2">
      <w:pPr>
        <w:jc w:val="both"/>
      </w:pPr>
    </w:p>
    <w:p w:rsidR="00E264D2" w:rsidRPr="00E264D2" w:rsidRDefault="00E264D2" w:rsidP="00FA2C70">
      <w:pPr>
        <w:numPr>
          <w:ilvl w:val="0"/>
          <w:numId w:val="17"/>
        </w:numPr>
        <w:contextualSpacing/>
        <w:jc w:val="both"/>
      </w:pPr>
      <w:r w:rsidRPr="00E264D2">
        <w:t>State-level implementation of the CMS Home and Community-Based Services Rule, especially as it relates to assisted living and other residential care communities.</w:t>
      </w:r>
    </w:p>
    <w:p w:rsidR="00E264D2" w:rsidRPr="00E264D2" w:rsidRDefault="00E264D2" w:rsidP="00E264D2">
      <w:pPr>
        <w:jc w:val="both"/>
      </w:pPr>
    </w:p>
    <w:p w:rsidR="00E264D2" w:rsidRPr="00E264D2" w:rsidRDefault="00E264D2" w:rsidP="00FA2C70">
      <w:pPr>
        <w:numPr>
          <w:ilvl w:val="0"/>
          <w:numId w:val="17"/>
        </w:numPr>
        <w:contextualSpacing/>
        <w:jc w:val="both"/>
      </w:pPr>
      <w:r w:rsidRPr="00E264D2">
        <w:t>Development of beneficiary support systems for Medicaid managed care recipients</w:t>
      </w:r>
      <w:r w:rsidR="00693AC3">
        <w:t xml:space="preserve"> across states</w:t>
      </w:r>
      <w:r w:rsidRPr="00E264D2">
        <w:t>.</w:t>
      </w:r>
    </w:p>
    <w:p w:rsidR="00E264D2" w:rsidRPr="00E264D2" w:rsidRDefault="00E264D2" w:rsidP="00E264D2">
      <w:pPr>
        <w:jc w:val="both"/>
      </w:pPr>
    </w:p>
    <w:p w:rsidR="00E264D2" w:rsidRPr="00E264D2" w:rsidRDefault="00E264D2" w:rsidP="00E264D2">
      <w:pPr>
        <w:jc w:val="both"/>
        <w:rPr>
          <w:u w:val="single"/>
        </w:rPr>
      </w:pPr>
      <w:r w:rsidRPr="00E264D2">
        <w:rPr>
          <w:u w:val="single"/>
        </w:rPr>
        <w:t>How LTC Ombudsman Programs Operate</w:t>
      </w:r>
    </w:p>
    <w:p w:rsidR="00E264D2" w:rsidRPr="00E264D2" w:rsidRDefault="00E264D2" w:rsidP="00E264D2">
      <w:pPr>
        <w:jc w:val="both"/>
      </w:pPr>
    </w:p>
    <w:p w:rsidR="00E264D2" w:rsidRPr="00E264D2" w:rsidRDefault="00E264D2" w:rsidP="00E264D2">
      <w:pPr>
        <w:jc w:val="both"/>
      </w:pPr>
      <w:r w:rsidRPr="00E264D2">
        <w:t>There are 53 State LTC Ombudsman programs (in 50 states, plus the District of Columbia, Puerto Rico, and Guam). In most states, the Office of the State LTC Ombudsman is housed within the state unit on aging or another state agency.  In others, the Office is housed in a private non-profit agency.  Most states have contracts with or through area agencies on aging to provide direct ombudsman services to residents. There are 552 designated local Ombudsman entities.</w:t>
      </w:r>
    </w:p>
    <w:p w:rsidR="00E264D2" w:rsidRPr="00E264D2" w:rsidRDefault="00E264D2" w:rsidP="00E264D2">
      <w:pPr>
        <w:jc w:val="both"/>
      </w:pPr>
    </w:p>
    <w:p w:rsidR="00E264D2" w:rsidRPr="00E264D2" w:rsidRDefault="00E264D2" w:rsidP="00E264D2">
      <w:pPr>
        <w:jc w:val="both"/>
      </w:pPr>
      <w:r w:rsidRPr="00E264D2">
        <w:t xml:space="preserve">In FY 2015, 1,301 full-time equivalent staff and 7,734 volunteers -- all trained and designated to investigate and resolve complaints -- provided Ombudsman program services to residents.  An additional 3,760 volunteers also served residents or assisted in program operations in ways other than complaint resolution.   </w:t>
      </w:r>
    </w:p>
    <w:p w:rsidR="00E264D2" w:rsidRPr="00E264D2" w:rsidRDefault="00E264D2" w:rsidP="00E264D2">
      <w:pPr>
        <w:jc w:val="both"/>
      </w:pPr>
    </w:p>
    <w:p w:rsidR="00E264D2" w:rsidRPr="00E264D2" w:rsidRDefault="00E264D2" w:rsidP="00E264D2">
      <w:pPr>
        <w:jc w:val="both"/>
      </w:pPr>
      <w:r w:rsidRPr="00E264D2">
        <w:t xml:space="preserve">Total FY 2015 funding from all sources nationwide was $96,964,406, an overall increase of 3.1 percent from the FY 2014 level. The federal government is the primary entity funding the Ombudsman Program, providing 54 percent of total funding in FY 2015. States provided 39 percent of funds, and other non-federal sources funded the remaining seven percent.  </w:t>
      </w:r>
    </w:p>
    <w:p w:rsidR="00E264D2" w:rsidRPr="00E264D2" w:rsidRDefault="00E264D2" w:rsidP="00E264D2">
      <w:pPr>
        <w:jc w:val="both"/>
      </w:pPr>
    </w:p>
    <w:p w:rsidR="00E264D2" w:rsidRPr="00E264D2" w:rsidRDefault="00E264D2" w:rsidP="00E264D2">
      <w:pPr>
        <w:jc w:val="both"/>
        <w:rPr>
          <w:u w:val="single"/>
        </w:rPr>
      </w:pPr>
      <w:r w:rsidRPr="00E264D2">
        <w:rPr>
          <w:u w:val="single"/>
        </w:rPr>
        <w:t>National Long-Term Care Ombudsman Resource Center Activities</w:t>
      </w:r>
    </w:p>
    <w:p w:rsidR="00E264D2" w:rsidRPr="00E264D2" w:rsidRDefault="00E264D2" w:rsidP="00E264D2">
      <w:pPr>
        <w:jc w:val="both"/>
      </w:pPr>
    </w:p>
    <w:p w:rsidR="00E264D2" w:rsidRPr="00E264D2" w:rsidRDefault="00E264D2" w:rsidP="00E264D2">
      <w:pPr>
        <w:jc w:val="both"/>
      </w:pPr>
      <w:r w:rsidRPr="00E264D2">
        <w:t>In order to effectively problem-solve with and for residents, Ombudsman programs must remain up-to-date on the latest long-term care developments.  Therefore, ACL supports the National Ombudsman Resource Center (NORC), which provides training, technical assistance, and program management expertise to Ombudsman programs. In FY 2015, the NORC was operated by the National Consumer Voice for Quality Long-Term Care, in conjunction with the National Association of States United for Aging and Disabilities (NASUAD).</w:t>
      </w:r>
    </w:p>
    <w:p w:rsidR="00E264D2" w:rsidRPr="00E264D2" w:rsidRDefault="00E264D2" w:rsidP="00E264D2">
      <w:pPr>
        <w:jc w:val="both"/>
      </w:pPr>
    </w:p>
    <w:p w:rsidR="00E264D2" w:rsidRPr="00E264D2" w:rsidRDefault="00E264D2" w:rsidP="00E264D2">
      <w:pPr>
        <w:jc w:val="both"/>
      </w:pPr>
      <w:r w:rsidRPr="00E264D2">
        <w:t>In FY 2015, NORC provided training and technical assistance to Ombudsman programs on such issues as:</w:t>
      </w:r>
    </w:p>
    <w:p w:rsidR="00E264D2" w:rsidRPr="00E264D2" w:rsidRDefault="00E264D2" w:rsidP="00FA2C70">
      <w:pPr>
        <w:numPr>
          <w:ilvl w:val="0"/>
          <w:numId w:val="14"/>
        </w:numPr>
        <w:jc w:val="both"/>
      </w:pPr>
      <w:r w:rsidRPr="00E264D2">
        <w:t>Implementation of ACL’s final rule for State LTC Ombudsman programs;</w:t>
      </w:r>
    </w:p>
    <w:p w:rsidR="00E264D2" w:rsidRPr="00E264D2" w:rsidRDefault="00E264D2" w:rsidP="00FA2C70">
      <w:pPr>
        <w:numPr>
          <w:ilvl w:val="0"/>
          <w:numId w:val="14"/>
        </w:numPr>
        <w:jc w:val="both"/>
      </w:pPr>
      <w:r w:rsidRPr="00E264D2">
        <w:t>LTC Ombudsman services to tribal elders;</w:t>
      </w:r>
    </w:p>
    <w:p w:rsidR="00E264D2" w:rsidRPr="00E264D2" w:rsidRDefault="00E264D2" w:rsidP="00FA2C70">
      <w:pPr>
        <w:numPr>
          <w:ilvl w:val="0"/>
          <w:numId w:val="14"/>
        </w:numPr>
        <w:jc w:val="both"/>
      </w:pPr>
      <w:r w:rsidRPr="00E264D2">
        <w:t>Volunteer management training and technical assistance;</w:t>
      </w:r>
    </w:p>
    <w:p w:rsidR="00E264D2" w:rsidRPr="00E264D2" w:rsidRDefault="00E264D2" w:rsidP="00FA2C70">
      <w:pPr>
        <w:numPr>
          <w:ilvl w:val="0"/>
          <w:numId w:val="14"/>
        </w:numPr>
        <w:jc w:val="both"/>
      </w:pPr>
      <w:r w:rsidRPr="00E264D2">
        <w:lastRenderedPageBreak/>
        <w:t>Technical assistance on emergency preparedness and response;</w:t>
      </w:r>
    </w:p>
    <w:p w:rsidR="00E264D2" w:rsidRPr="00E264D2" w:rsidRDefault="00E264D2" w:rsidP="00FA2C70">
      <w:pPr>
        <w:numPr>
          <w:ilvl w:val="0"/>
          <w:numId w:val="14"/>
        </w:numPr>
        <w:jc w:val="both"/>
      </w:pPr>
      <w:r w:rsidRPr="00E264D2">
        <w:t>Ombudsman services in managed long-term services and supports (LTSS);</w:t>
      </w:r>
    </w:p>
    <w:p w:rsidR="00E264D2" w:rsidRPr="00E264D2" w:rsidRDefault="00E264D2" w:rsidP="00FA2C70">
      <w:pPr>
        <w:numPr>
          <w:ilvl w:val="0"/>
          <w:numId w:val="14"/>
        </w:numPr>
        <w:jc w:val="both"/>
      </w:pPr>
      <w:r w:rsidRPr="00E264D2">
        <w:t xml:space="preserve">Ombudsman services in home and community-based (HCBS) settings; </w:t>
      </w:r>
    </w:p>
    <w:p w:rsidR="00E264D2" w:rsidRPr="00E264D2" w:rsidRDefault="00E264D2" w:rsidP="00FA2C70">
      <w:pPr>
        <w:numPr>
          <w:ilvl w:val="0"/>
          <w:numId w:val="14"/>
        </w:numPr>
        <w:jc w:val="both"/>
      </w:pPr>
      <w:r w:rsidRPr="00E264D2">
        <w:t>ACL’s final rule for State LTC Ombudsman programs (issued February 2015).</w:t>
      </w:r>
    </w:p>
    <w:p w:rsidR="00E264D2" w:rsidRPr="00E264D2" w:rsidRDefault="00E264D2" w:rsidP="00E264D2">
      <w:pPr>
        <w:jc w:val="both"/>
      </w:pPr>
    </w:p>
    <w:p w:rsidR="00E264D2" w:rsidRPr="00E264D2" w:rsidRDefault="00E264D2" w:rsidP="00E264D2">
      <w:pPr>
        <w:jc w:val="both"/>
      </w:pPr>
      <w:r w:rsidRPr="00E264D2">
        <w:t xml:space="preserve">Additionally, the NORC provided quarterly orientation training for all new ombudsmen, and developed resource materials, the </w:t>
      </w:r>
      <w:hyperlink r:id="rId17" w:history="1">
        <w:r w:rsidRPr="00A85871">
          <w:rPr>
            <w:rStyle w:val="Hyperlink"/>
          </w:rPr>
          <w:t>NORC website</w:t>
        </w:r>
      </w:hyperlink>
      <w:r w:rsidRPr="00E264D2">
        <w:t>, and quarterly newsletters that were customized for Ombudsman program staff and volunteers.</w:t>
      </w:r>
    </w:p>
    <w:p w:rsidR="00E264D2" w:rsidRPr="00E264D2" w:rsidRDefault="00E264D2" w:rsidP="00E264D2">
      <w:pPr>
        <w:jc w:val="both"/>
        <w:rPr>
          <w:u w:val="single"/>
        </w:rPr>
      </w:pPr>
    </w:p>
    <w:p w:rsidR="00E264D2" w:rsidRPr="00E264D2" w:rsidRDefault="00E264D2" w:rsidP="00E264D2">
      <w:pPr>
        <w:jc w:val="both"/>
        <w:rPr>
          <w:u w:val="single"/>
        </w:rPr>
      </w:pPr>
      <w:r w:rsidRPr="00E264D2">
        <w:rPr>
          <w:u w:val="single"/>
        </w:rPr>
        <w:t>Program Results and Challenges</w:t>
      </w:r>
    </w:p>
    <w:p w:rsidR="00E264D2" w:rsidRPr="00E264D2" w:rsidRDefault="00E264D2" w:rsidP="00E264D2">
      <w:pPr>
        <w:jc w:val="both"/>
      </w:pPr>
    </w:p>
    <w:p w:rsidR="00E264D2" w:rsidRPr="00E264D2" w:rsidRDefault="00E264D2" w:rsidP="00FA2C70">
      <w:pPr>
        <w:numPr>
          <w:ilvl w:val="0"/>
          <w:numId w:val="15"/>
        </w:numPr>
        <w:jc w:val="both"/>
      </w:pPr>
      <w:r w:rsidRPr="00E264D2">
        <w:t xml:space="preserve">Volunteers help the program engage the local community.  </w:t>
      </w:r>
    </w:p>
    <w:p w:rsidR="00E264D2" w:rsidRPr="00E264D2" w:rsidRDefault="00E264D2" w:rsidP="00E264D2">
      <w:pPr>
        <w:jc w:val="both"/>
      </w:pPr>
    </w:p>
    <w:p w:rsidR="00E264D2" w:rsidRPr="00E264D2" w:rsidRDefault="00E264D2" w:rsidP="00E264D2">
      <w:pPr>
        <w:jc w:val="both"/>
      </w:pPr>
      <w:r w:rsidRPr="00E264D2">
        <w:t>Thousands of volunteers across the county donated their time, talents and energy to visit residents, listen to their concerns and take action to resolve problems.  For some residents the Ombudsman program volunteer may be their only visitor</w:t>
      </w:r>
      <w:r w:rsidR="00693AC3">
        <w:t>; these types of community connections are vital to health and well-being</w:t>
      </w:r>
      <w:r w:rsidRPr="00E264D2">
        <w:t xml:space="preserve">. Volunteers frequently provide residents with regular access to ombudsman services and provide cost-effective, community-based complaint resolution. </w:t>
      </w:r>
    </w:p>
    <w:p w:rsidR="00E264D2" w:rsidRPr="00E264D2" w:rsidRDefault="00E264D2" w:rsidP="00E264D2">
      <w:pPr>
        <w:jc w:val="both"/>
      </w:pPr>
    </w:p>
    <w:p w:rsidR="00E264D2" w:rsidRPr="00E264D2" w:rsidRDefault="00E264D2" w:rsidP="00FA2C70">
      <w:pPr>
        <w:numPr>
          <w:ilvl w:val="0"/>
          <w:numId w:val="15"/>
        </w:numPr>
        <w:jc w:val="both"/>
      </w:pPr>
      <w:r w:rsidRPr="00E264D2">
        <w:t xml:space="preserve">Ombudsman programs solve problems at the facility level. </w:t>
      </w:r>
    </w:p>
    <w:p w:rsidR="00E264D2" w:rsidRPr="00E264D2" w:rsidRDefault="00E264D2" w:rsidP="00E264D2">
      <w:pPr>
        <w:jc w:val="both"/>
      </w:pPr>
    </w:p>
    <w:p w:rsidR="00E264D2" w:rsidRPr="00E264D2" w:rsidRDefault="00E264D2" w:rsidP="00E264D2">
      <w:pPr>
        <w:jc w:val="both"/>
      </w:pPr>
      <w:r w:rsidRPr="00E264D2">
        <w:t xml:space="preserve">Ombudsman programs resolve hundreds of thousands of complaints every year on behalf of residents. The largest group that requested ombudsman services to resolve complaints were residents themselves, indicating that residents depend on the program to help them resolve their concerns. By resolving the vast majority of these complaints to the satisfaction of the resident or complainant, the work of ombudsmen improved the quality of life and quality of care for many residents of our nation’s long-term care facilities.  Ombudsman complaint resolution is often conducted without outside intervention which can save on regulatory and legal costs while achieving the resident’s desired outcome. </w:t>
      </w:r>
    </w:p>
    <w:p w:rsidR="00E264D2" w:rsidRPr="00E264D2" w:rsidRDefault="00E264D2" w:rsidP="00E264D2">
      <w:pPr>
        <w:jc w:val="both"/>
      </w:pPr>
    </w:p>
    <w:p w:rsidR="00E264D2" w:rsidRPr="00E264D2" w:rsidRDefault="00E264D2" w:rsidP="00FA2C70">
      <w:pPr>
        <w:numPr>
          <w:ilvl w:val="0"/>
          <w:numId w:val="15"/>
        </w:numPr>
        <w:jc w:val="both"/>
      </w:pPr>
      <w:r w:rsidRPr="00E264D2">
        <w:t xml:space="preserve">Growth in HCBS and Medicaid managed LTSS increase demands for ombudsman services. </w:t>
      </w:r>
    </w:p>
    <w:p w:rsidR="00E264D2" w:rsidRPr="00E264D2" w:rsidRDefault="00E264D2" w:rsidP="00E264D2">
      <w:pPr>
        <w:jc w:val="both"/>
      </w:pPr>
    </w:p>
    <w:p w:rsidR="00E264D2" w:rsidRPr="00E264D2" w:rsidRDefault="00E264D2" w:rsidP="00E264D2">
      <w:pPr>
        <w:jc w:val="both"/>
      </w:pPr>
      <w:r w:rsidRPr="00E264D2">
        <w:t>Federal and state policy changes -- including the promotion of Medicaid HCBS</w:t>
      </w:r>
      <w:r w:rsidR="00693AC3">
        <w:t xml:space="preserve"> through</w:t>
      </w:r>
      <w:r w:rsidRPr="00E264D2">
        <w:t xml:space="preserve"> waivers</w:t>
      </w:r>
      <w:r w:rsidR="00693AC3">
        <w:t xml:space="preserve"> and other statutory options</w:t>
      </w:r>
      <w:r w:rsidRPr="00E264D2">
        <w:t xml:space="preserve">, the rapid growth of Medicaid  </w:t>
      </w:r>
      <w:r w:rsidR="00693AC3">
        <w:t>M</w:t>
      </w:r>
      <w:r w:rsidRPr="00E264D2">
        <w:t xml:space="preserve">anaged LTSS, and demonstration projects to serve persons receiving both Medicare and Medicaid (i.e. Financial Alignment Initiative, sometimes called the “duals demonstrations”) -- are creating </w:t>
      </w:r>
      <w:r w:rsidR="00693AC3">
        <w:t>opportunities, as well as some new challenges,</w:t>
      </w:r>
      <w:r w:rsidRPr="00E264D2">
        <w:t xml:space="preserve"> for Ombudsman programs.  As these services expand and provide more options for residents, ombudsmen work to ensure that their interests and concerns are represented and that strong beneficiary support systems are in place.</w:t>
      </w:r>
    </w:p>
    <w:p w:rsidR="00E264D2" w:rsidRPr="00E264D2" w:rsidRDefault="00E264D2" w:rsidP="00E264D2">
      <w:pPr>
        <w:jc w:val="both"/>
      </w:pPr>
    </w:p>
    <w:p w:rsidR="00E264D2" w:rsidRPr="00E264D2" w:rsidRDefault="00E264D2" w:rsidP="00E264D2">
      <w:pPr>
        <w:jc w:val="both"/>
      </w:pPr>
      <w:r w:rsidRPr="00E264D2">
        <w:t>Increasingly, individuals live in residential settings other than nursing homes, including board and care homes, assisted living</w:t>
      </w:r>
      <w:r w:rsidR="00693AC3">
        <w:t xml:space="preserve"> facilities</w:t>
      </w:r>
      <w:r w:rsidRPr="00E264D2">
        <w:t xml:space="preserve">, and other residential care communities (known by various names under state laws).  While the number of nursing home beds and facilities are relatively steady, the growth in capacity of these other residential settings is steadily increasing. </w:t>
      </w:r>
      <w:r w:rsidR="00693AC3">
        <w:t>Some of</w:t>
      </w:r>
      <w:r w:rsidRPr="00E264D2">
        <w:t xml:space="preserve"> these settings are </w:t>
      </w:r>
      <w:r w:rsidR="00693AC3">
        <w:t xml:space="preserve">appropriately </w:t>
      </w:r>
      <w:r w:rsidRPr="00E264D2">
        <w:t>included within the array of Medicaid-funded HCBS options, and federal policy continues to accelerate the growth of HCBS.</w:t>
      </w:r>
      <w:r w:rsidR="00693AC3">
        <w:t xml:space="preserve"> </w:t>
      </w:r>
      <w:r w:rsidRPr="00E264D2">
        <w:t xml:space="preserve"> As a result, LTC Ombudsman programs report increasing work, both at the individual complaint and the systems levels on behalf of these </w:t>
      </w:r>
      <w:r w:rsidR="00693AC3">
        <w:t>types of</w:t>
      </w:r>
      <w:r w:rsidRPr="00E264D2">
        <w:t xml:space="preserve"> residential settings. </w:t>
      </w:r>
    </w:p>
    <w:p w:rsidR="00E264D2" w:rsidRPr="00E264D2" w:rsidRDefault="00E264D2" w:rsidP="00E264D2">
      <w:pPr>
        <w:jc w:val="both"/>
      </w:pPr>
    </w:p>
    <w:p w:rsidR="00E264D2" w:rsidRPr="00E264D2" w:rsidRDefault="00E264D2" w:rsidP="00E264D2">
      <w:pPr>
        <w:jc w:val="both"/>
      </w:pPr>
      <w:r w:rsidRPr="00E264D2">
        <w:t xml:space="preserve">In addition to service </w:t>
      </w:r>
      <w:r w:rsidR="00612D16">
        <w:t xml:space="preserve">in </w:t>
      </w:r>
      <w:r w:rsidRPr="00E264D2">
        <w:t xml:space="preserve">these residential settings, 15 states have expanded their laws to authorize the LTC Ombudsman program to serve individuals receiving </w:t>
      </w:r>
      <w:r w:rsidR="008970B6">
        <w:t>HCBS</w:t>
      </w:r>
      <w:r w:rsidRPr="00E264D2">
        <w:t xml:space="preserve">.  In four states, LTC Ombudsman programs have been expanded to serve individuals participating in Medicare-Medicaid or in Medicare-Medicaid plans offered under the Financial Alignment Initiative, regardless of where they reside.  </w:t>
      </w:r>
    </w:p>
    <w:p w:rsidR="00E264D2" w:rsidRPr="00E264D2" w:rsidRDefault="00E264D2" w:rsidP="00E264D2">
      <w:pPr>
        <w:jc w:val="both"/>
      </w:pPr>
    </w:p>
    <w:p w:rsidR="00E264D2" w:rsidRPr="00E264D2" w:rsidRDefault="00E264D2" w:rsidP="00FA2C70">
      <w:pPr>
        <w:numPr>
          <w:ilvl w:val="0"/>
          <w:numId w:val="15"/>
        </w:numPr>
        <w:jc w:val="both"/>
      </w:pPr>
      <w:r w:rsidRPr="00E264D2">
        <w:t xml:space="preserve">Ombudsman programs are credible sources of information. </w:t>
      </w:r>
    </w:p>
    <w:p w:rsidR="00E264D2" w:rsidRPr="00E264D2" w:rsidRDefault="00E264D2" w:rsidP="00E264D2">
      <w:pPr>
        <w:jc w:val="both"/>
      </w:pPr>
    </w:p>
    <w:p w:rsidR="00E264D2" w:rsidRPr="00E264D2" w:rsidRDefault="00E264D2" w:rsidP="00E264D2">
      <w:pPr>
        <w:jc w:val="both"/>
      </w:pPr>
      <w:r w:rsidRPr="00E264D2">
        <w:t>Ombudsman programs serve as a credible source of information for residents (including through resident councils), their families (including through family councils), and facility staff.  Based on their extensive experience resolving resident problems, ombudsmen represented resident interests to policymakers, influencing public policy related to long-term care.</w:t>
      </w:r>
    </w:p>
    <w:p w:rsidR="00E264D2" w:rsidRPr="00E264D2" w:rsidRDefault="00E264D2" w:rsidP="00E264D2">
      <w:pPr>
        <w:jc w:val="both"/>
      </w:pPr>
    </w:p>
    <w:p w:rsidR="00E264D2" w:rsidRPr="00E264D2" w:rsidRDefault="00E264D2" w:rsidP="00FA2C70">
      <w:pPr>
        <w:numPr>
          <w:ilvl w:val="0"/>
          <w:numId w:val="15"/>
        </w:numPr>
        <w:jc w:val="both"/>
      </w:pPr>
      <w:r w:rsidRPr="00E264D2">
        <w:t>Ombudsman programs leverage federal dollars.</w:t>
      </w:r>
    </w:p>
    <w:p w:rsidR="00E264D2" w:rsidRPr="00E264D2" w:rsidRDefault="00E264D2" w:rsidP="00E264D2">
      <w:pPr>
        <w:jc w:val="both"/>
      </w:pPr>
    </w:p>
    <w:p w:rsidR="00E264D2" w:rsidRPr="00E264D2" w:rsidRDefault="00E264D2" w:rsidP="00E264D2">
      <w:pPr>
        <w:jc w:val="both"/>
      </w:pPr>
      <w:r w:rsidRPr="00E264D2">
        <w:t>Federal funds leveraged resources from other sources for ombudsman programs.  During FY 2015, 46 percent of program expenditures came from non-federal sources.  The Ombudsman program’s significant use of volunteers, further leverages limited resources. The value of volunteer time contributed to the program nationwide in FY 2015 was over $16 million.</w:t>
      </w:r>
      <w:r w:rsidRPr="00E264D2">
        <w:rPr>
          <w:vertAlign w:val="superscript"/>
        </w:rPr>
        <w:footnoteReference w:id="117"/>
      </w:r>
      <w:r w:rsidRPr="00E264D2">
        <w:t xml:space="preserve">   </w:t>
      </w:r>
    </w:p>
    <w:p w:rsidR="00E264D2" w:rsidRPr="00E264D2" w:rsidRDefault="00E264D2" w:rsidP="00E264D2">
      <w:pPr>
        <w:jc w:val="both"/>
      </w:pPr>
      <w:r w:rsidRPr="00E264D2">
        <w:t xml:space="preserve"> </w:t>
      </w:r>
    </w:p>
    <w:p w:rsidR="00E264D2" w:rsidRPr="00E264D2" w:rsidRDefault="00E264D2" w:rsidP="00E264D2">
      <w:pPr>
        <w:jc w:val="both"/>
      </w:pPr>
    </w:p>
    <w:p w:rsidR="00E264D2" w:rsidRDefault="00E264D2" w:rsidP="00E264D2">
      <w:pPr>
        <w:rPr>
          <w:spacing w:val="-2"/>
        </w:rPr>
      </w:pPr>
      <w:r w:rsidRPr="00E264D2">
        <w:br w:type="page"/>
      </w:r>
    </w:p>
    <w:p w:rsidR="00E264D2" w:rsidRPr="00AD0670" w:rsidRDefault="00E264D2" w:rsidP="00E264D2">
      <w:pPr>
        <w:jc w:val="center"/>
        <w:rPr>
          <w:szCs w:val="28"/>
        </w:rPr>
      </w:pPr>
      <w:r w:rsidRPr="00AD0670">
        <w:rPr>
          <w:szCs w:val="28"/>
        </w:rPr>
        <w:lastRenderedPageBreak/>
        <w:t xml:space="preserve"> </w:t>
      </w:r>
    </w:p>
    <w:p w:rsidR="00A35C3D" w:rsidRPr="00AD0670" w:rsidRDefault="00A35C3D" w:rsidP="002D29A6">
      <w:pPr>
        <w:pStyle w:val="Heading1"/>
        <w:rPr>
          <w:szCs w:val="28"/>
        </w:rPr>
      </w:pPr>
      <w:r w:rsidRPr="00AD0670">
        <w:rPr>
          <w:szCs w:val="28"/>
        </w:rPr>
        <w:t>PART IV: SUPPORTING THE NATIONAL</w:t>
      </w:r>
      <w:bookmarkEnd w:id="43"/>
    </w:p>
    <w:p w:rsidR="00A35C3D" w:rsidRPr="00C5754A" w:rsidRDefault="00A35C3D" w:rsidP="00C5754A">
      <w:pPr>
        <w:contextualSpacing/>
        <w:jc w:val="center"/>
        <w:rPr>
          <w:b/>
          <w:sz w:val="28"/>
          <w:szCs w:val="28"/>
        </w:rPr>
      </w:pPr>
      <w:r w:rsidRPr="00C5754A">
        <w:rPr>
          <w:b/>
          <w:sz w:val="28"/>
          <w:szCs w:val="28"/>
        </w:rPr>
        <w:t>AGING SERVICES NETWORK</w:t>
      </w:r>
    </w:p>
    <w:p w:rsidR="00A35C3D" w:rsidRPr="0004723E" w:rsidRDefault="00A35C3D" w:rsidP="00A35C3D">
      <w:pPr>
        <w:contextualSpacing/>
        <w:jc w:val="center"/>
      </w:pPr>
    </w:p>
    <w:p w:rsidR="00A35C3D" w:rsidRPr="0004723E" w:rsidRDefault="00A35C3D" w:rsidP="00A35C3D">
      <w:pPr>
        <w:contextualSpacing/>
        <w:jc w:val="both"/>
        <w:rPr>
          <w:iCs/>
        </w:rPr>
      </w:pPr>
      <w:r w:rsidRPr="0004723E">
        <w:rPr>
          <w:iCs/>
        </w:rPr>
        <w:t xml:space="preserve">Older Americans face a vast array of choices when trying to determine the right services and supports to assist them to remain active and independent in their communities. As the number of </w:t>
      </w:r>
      <w:r>
        <w:rPr>
          <w:iCs/>
        </w:rPr>
        <w:t>choices</w:t>
      </w:r>
      <w:r w:rsidRPr="0004723E">
        <w:rPr>
          <w:iCs/>
        </w:rPr>
        <w:t xml:space="preserve"> available to assist them grows, so too does the complexity of navigating these programs and </w:t>
      </w:r>
      <w:r>
        <w:rPr>
          <w:iCs/>
        </w:rPr>
        <w:t>selecting</w:t>
      </w:r>
      <w:r w:rsidRPr="0004723E">
        <w:rPr>
          <w:iCs/>
        </w:rPr>
        <w:t xml:space="preserve"> among them to determine which best suit the needs of </w:t>
      </w:r>
      <w:r>
        <w:rPr>
          <w:iCs/>
        </w:rPr>
        <w:t>each individual</w:t>
      </w:r>
      <w:r w:rsidRPr="0004723E">
        <w:rPr>
          <w:iCs/>
        </w:rPr>
        <w:t xml:space="preserve">. </w:t>
      </w:r>
    </w:p>
    <w:p w:rsidR="00A35C3D" w:rsidRPr="0004723E" w:rsidRDefault="00A35C3D" w:rsidP="00A35C3D">
      <w:pPr>
        <w:contextualSpacing/>
        <w:jc w:val="both"/>
      </w:pPr>
    </w:p>
    <w:p w:rsidR="00A35C3D" w:rsidRDefault="00A35C3D" w:rsidP="00A35C3D">
      <w:pPr>
        <w:contextualSpacing/>
        <w:jc w:val="both"/>
      </w:pPr>
      <w:r w:rsidRPr="0004723E">
        <w:t xml:space="preserve">A key part </w:t>
      </w:r>
      <w:r>
        <w:t>of AoA’</w:t>
      </w:r>
      <w:r w:rsidRPr="0004723E">
        <w:t>s emphasis on community living is providing consumers with the information</w:t>
      </w:r>
      <w:r>
        <w:t xml:space="preserve"> and assistance</w:t>
      </w:r>
      <w:r w:rsidRPr="0004723E">
        <w:t xml:space="preserve"> they need to make decisions about their independence and connecting </w:t>
      </w:r>
      <w:r>
        <w:t xml:space="preserve">them </w:t>
      </w:r>
      <w:r w:rsidRPr="0004723E">
        <w:t xml:space="preserve">with the right services. </w:t>
      </w:r>
      <w:r>
        <w:t xml:space="preserve">An </w:t>
      </w:r>
      <w:r w:rsidRPr="0004723E">
        <w:t>Aging and Disability Resource Centers</w:t>
      </w:r>
      <w:r>
        <w:t xml:space="preserve"> (ADRCs)</w:t>
      </w:r>
      <w:r w:rsidRPr="0004723E">
        <w:t xml:space="preserve"> </w:t>
      </w:r>
      <w:r>
        <w:t xml:space="preserve">system </w:t>
      </w:r>
      <w:r w:rsidRPr="0004723E">
        <w:t>help</w:t>
      </w:r>
      <w:r>
        <w:t>s</w:t>
      </w:r>
      <w:r w:rsidRPr="0004723E">
        <w:t xml:space="preserve"> to address this need by providing information, outreach, and assistance to </w:t>
      </w:r>
      <w:r w:rsidR="003B586D">
        <w:t>older adults</w:t>
      </w:r>
      <w:r w:rsidRPr="0004723E">
        <w:t xml:space="preserve"> and </w:t>
      </w:r>
      <w:r>
        <w:t>people</w:t>
      </w:r>
      <w:r w:rsidRPr="0004723E">
        <w:t xml:space="preserve"> with disabilities </w:t>
      </w:r>
      <w:r>
        <w:t>so that they can access</w:t>
      </w:r>
      <w:r w:rsidRPr="0004723E">
        <w:t xml:space="preserve"> the services necessary for their independence. ADRCs serve as community-level “one stop shop” entry points into long-term care</w:t>
      </w:r>
      <w:r w:rsidR="00A767B0">
        <w:t>,</w:t>
      </w:r>
      <w:r>
        <w:t xml:space="preserve"> including</w:t>
      </w:r>
      <w:r w:rsidR="008970B6">
        <w:t xml:space="preserve"> cost-effective</w:t>
      </w:r>
      <w:r>
        <w:t xml:space="preserve"> home and community-based services that can enable people to remain in their homes</w:t>
      </w:r>
      <w:r w:rsidR="00A767B0">
        <w:t>,</w:t>
      </w:r>
      <w:r>
        <w:t xml:space="preserve"> </w:t>
      </w:r>
      <w:r w:rsidRPr="0004723E">
        <w:t xml:space="preserve">for people of all ages who have chronic conditions and disabilities. </w:t>
      </w:r>
    </w:p>
    <w:p w:rsidR="00A35C3D" w:rsidRDefault="00A35C3D" w:rsidP="00A35C3D">
      <w:pPr>
        <w:contextualSpacing/>
        <w:jc w:val="both"/>
      </w:pPr>
    </w:p>
    <w:p w:rsidR="00BB7EDF" w:rsidRPr="00BB7EDF" w:rsidRDefault="00BB7EDF" w:rsidP="00EB7718">
      <w:pPr>
        <w:pStyle w:val="Heading2"/>
      </w:pPr>
      <w:bookmarkStart w:id="45" w:name="_Toc436738896"/>
      <w:r w:rsidRPr="00BB7EDF">
        <w:t>Aging and Disability Resource Centers/No Wrong Door System</w:t>
      </w:r>
      <w:bookmarkEnd w:id="45"/>
    </w:p>
    <w:p w:rsidR="00BB7EDF" w:rsidRPr="00F36715" w:rsidRDefault="00BB7EDF" w:rsidP="00BB7EDF">
      <w:pPr>
        <w:contextualSpacing/>
        <w:jc w:val="center"/>
        <w:rPr>
          <w:b/>
          <w:i/>
        </w:rPr>
      </w:pPr>
      <w:r w:rsidRPr="00F36715">
        <w:rPr>
          <w:b/>
          <w:i/>
        </w:rPr>
        <w:t>(FY 201</w:t>
      </w:r>
      <w:r w:rsidR="001211E2">
        <w:rPr>
          <w:b/>
          <w:i/>
        </w:rPr>
        <w:t>5</w:t>
      </w:r>
      <w:r w:rsidRPr="00F36715">
        <w:rPr>
          <w:b/>
          <w:i/>
        </w:rPr>
        <w:t>: $6,</w:t>
      </w:r>
      <w:r w:rsidR="001211E2">
        <w:rPr>
          <w:b/>
          <w:i/>
        </w:rPr>
        <w:t>119</w:t>
      </w:r>
      <w:r w:rsidRPr="00F36715">
        <w:rPr>
          <w:b/>
          <w:i/>
        </w:rPr>
        <w:t>,000)</w:t>
      </w:r>
    </w:p>
    <w:p w:rsidR="00BB7EDF" w:rsidRDefault="00BB7EDF" w:rsidP="00BB7EDF">
      <w:pPr>
        <w:contextualSpacing/>
        <w:jc w:val="both"/>
      </w:pPr>
    </w:p>
    <w:p w:rsidR="00BB7EDF" w:rsidRDefault="004112D9" w:rsidP="00BB7EDF">
      <w:pPr>
        <w:contextualSpacing/>
        <w:jc w:val="both"/>
      </w:pPr>
      <w:r>
        <w:t xml:space="preserve">The </w:t>
      </w:r>
      <w:r w:rsidR="00BB7EDF">
        <w:t>ADRC/No Wrong Door System</w:t>
      </w:r>
      <w:r w:rsidR="00E24A31">
        <w:rPr>
          <w:rStyle w:val="FootnoteReference"/>
        </w:rPr>
        <w:footnoteReference w:id="118"/>
      </w:r>
      <w:r w:rsidR="00423658">
        <w:t xml:space="preserve"> </w:t>
      </w:r>
      <w:r w:rsidR="00BB7EDF">
        <w:t>supports state efforts to help individuals access long</w:t>
      </w:r>
      <w:r w:rsidR="00D04EE9">
        <w:t>-</w:t>
      </w:r>
      <w:r w:rsidR="00BB7EDF">
        <w:t>term services and supports (LTSS) as well as develop more efficient and cost-effective access system</w:t>
      </w:r>
      <w:r w:rsidR="0091660A">
        <w:t>s</w:t>
      </w:r>
      <w:r w:rsidR="00BB7EDF">
        <w:t xml:space="preserve"> into LTSS at the community</w:t>
      </w:r>
      <w:r w:rsidR="003B586D">
        <w:t xml:space="preserve"> </w:t>
      </w:r>
      <w:r w:rsidR="00BB7EDF">
        <w:t xml:space="preserve">level. The current LTSS </w:t>
      </w:r>
      <w:r w:rsidR="00A767B0">
        <w:t>s</w:t>
      </w:r>
      <w:r w:rsidR="00BB7EDF">
        <w:t xml:space="preserve">ystem involves numerous funding streams administered by federal, state and local agencies using different access processes involving screening, intake, needs assessment, service planning, and eligibility determination.  Individuals </w:t>
      </w:r>
      <w:r w:rsidR="00A767B0">
        <w:t>seeking</w:t>
      </w:r>
      <w:r w:rsidR="00BB7EDF">
        <w:t xml:space="preserve"> to access LTSS frequently find themselves confronted with a </w:t>
      </w:r>
      <w:r w:rsidR="00423658">
        <w:t>variety</w:t>
      </w:r>
      <w:r w:rsidR="00BB7EDF">
        <w:t xml:space="preserve"> of organizations and requirements at a time when they are vulnerable or in crisis</w:t>
      </w:r>
      <w:r w:rsidR="0077537C">
        <w:t xml:space="preserve">, which </w:t>
      </w:r>
      <w:r w:rsidR="00BB7EDF">
        <w:t xml:space="preserve">often results in people making decisions based on incomplete, and sometimes inaccurate, information about their options. This can lead to decisions to purchase and/or use LTSS options that are less than optimal for the individual and more expensive than necessary, including decisions to use </w:t>
      </w:r>
      <w:r w:rsidR="008970B6">
        <w:t>costly</w:t>
      </w:r>
      <w:r w:rsidR="00BB7EDF">
        <w:t xml:space="preserve"> options such as nursing facility care that can quickly exhaust an individual’s personal resources and result in their spending down to Medicaid</w:t>
      </w:r>
      <w:r w:rsidR="008970B6">
        <w:t xml:space="preserve"> eligibility</w:t>
      </w:r>
      <w:r w:rsidR="00BB7EDF">
        <w:t>.</w:t>
      </w:r>
    </w:p>
    <w:p w:rsidR="005A659E" w:rsidRDefault="005A659E" w:rsidP="00BB7EDF">
      <w:pPr>
        <w:contextualSpacing/>
        <w:jc w:val="both"/>
      </w:pPr>
    </w:p>
    <w:p w:rsidR="00BB7EDF" w:rsidRDefault="00BB7EDF" w:rsidP="00BB7EDF">
      <w:pPr>
        <w:contextualSpacing/>
        <w:jc w:val="both"/>
      </w:pPr>
      <w:r>
        <w:t xml:space="preserve">In response to this challenge facing our citizens and our nation, AoA and </w:t>
      </w:r>
      <w:r w:rsidR="008970B6">
        <w:t>CM</w:t>
      </w:r>
      <w:r w:rsidR="004112D9">
        <w:t>S</w:t>
      </w:r>
      <w:r>
        <w:t xml:space="preserve"> worked collaboratively in 2003 to create a joint funding opportunity to support state efforts to create “one-stop-shop” access programs for people seeking LTSS. This initiative, known as the ADRC </w:t>
      </w:r>
      <w:r w:rsidR="00D2305D">
        <w:t>p</w:t>
      </w:r>
      <w:r>
        <w:t xml:space="preserve">rogram, was designed to provide consumers with “visible and trusted” sources of information, one-on-one counseling, and streamlined access to services and supports.  ADRCs grew out of best practice innovations known as “No Wrong Door” </w:t>
      </w:r>
      <w:r w:rsidR="00E24A31">
        <w:t xml:space="preserve">(NWD) </w:t>
      </w:r>
      <w:r>
        <w:t>and “Single Points of Entry” programs, where people of all ages may turn for objective information on their long-term services and support options.</w:t>
      </w:r>
    </w:p>
    <w:p w:rsidR="00BB7EDF" w:rsidRDefault="00BB7EDF" w:rsidP="00BB7EDF">
      <w:pPr>
        <w:contextualSpacing/>
        <w:jc w:val="both"/>
      </w:pPr>
    </w:p>
    <w:p w:rsidR="00BB7EDF" w:rsidRDefault="00BB7EDF" w:rsidP="00BB7EDF">
      <w:pPr>
        <w:contextualSpacing/>
        <w:jc w:val="both"/>
      </w:pPr>
      <w:r>
        <w:lastRenderedPageBreak/>
        <w:t>Another major development in the evolution of the ADRC model occurred in 200</w:t>
      </w:r>
      <w:r w:rsidR="003B586D">
        <w:t>9</w:t>
      </w:r>
      <w:r>
        <w:t xml:space="preserve"> when the Veterans Health Administration (VHA) – the nation’s largest </w:t>
      </w:r>
      <w:r w:rsidR="001211E2">
        <w:t xml:space="preserve">integrated </w:t>
      </w:r>
      <w:r>
        <w:t xml:space="preserve">health care system - recognized the value of ADRCs in helping </w:t>
      </w:r>
      <w:r w:rsidR="008970B6">
        <w:t>V</w:t>
      </w:r>
      <w:r w:rsidR="001211E2">
        <w:t>eterans</w:t>
      </w:r>
      <w:r>
        <w:t xml:space="preserve"> develop person-centered plans and </w:t>
      </w:r>
      <w:r w:rsidR="001211E2">
        <w:t>self-</w:t>
      </w:r>
      <w:r>
        <w:t xml:space="preserve">direct their own care. In that year, the VHA entered into formal funding agreements with </w:t>
      </w:r>
      <w:r w:rsidR="001211E2" w:rsidRPr="001211E2">
        <w:t>organizations within a No Wrong Door System (e.g.,</w:t>
      </w:r>
      <w:r w:rsidR="001211E2">
        <w:t xml:space="preserve"> </w:t>
      </w:r>
      <w:r>
        <w:t>ADRCs</w:t>
      </w:r>
      <w:r w:rsidR="001211E2">
        <w:t>, a</w:t>
      </w:r>
      <w:r w:rsidR="001211E2" w:rsidRPr="001211E2">
        <w:t xml:space="preserve">rea </w:t>
      </w:r>
      <w:r w:rsidR="001211E2">
        <w:t>a</w:t>
      </w:r>
      <w:r w:rsidR="001211E2" w:rsidRPr="001211E2">
        <w:t xml:space="preserve">gencies on </w:t>
      </w:r>
      <w:r w:rsidR="001211E2">
        <w:t>a</w:t>
      </w:r>
      <w:r w:rsidR="001211E2" w:rsidRPr="001211E2">
        <w:t xml:space="preserve">ging, </w:t>
      </w:r>
      <w:r w:rsidR="001211E2">
        <w:t>c</w:t>
      </w:r>
      <w:r w:rsidR="001211E2" w:rsidRPr="001211E2">
        <w:t xml:space="preserve">enters for </w:t>
      </w:r>
      <w:r w:rsidR="001211E2">
        <w:t>i</w:t>
      </w:r>
      <w:r w:rsidR="001211E2" w:rsidRPr="001211E2">
        <w:t xml:space="preserve">ndependent </w:t>
      </w:r>
      <w:r w:rsidR="001211E2">
        <w:t>l</w:t>
      </w:r>
      <w:r w:rsidR="001211E2" w:rsidRPr="001211E2">
        <w:t xml:space="preserve">iving, </w:t>
      </w:r>
      <w:r w:rsidR="001211E2">
        <w:t>s</w:t>
      </w:r>
      <w:r w:rsidR="001211E2" w:rsidRPr="001211E2">
        <w:t xml:space="preserve">tate </w:t>
      </w:r>
      <w:r w:rsidR="001211E2">
        <w:t>u</w:t>
      </w:r>
      <w:r w:rsidR="001211E2" w:rsidRPr="001211E2">
        <w:t xml:space="preserve">nits on </w:t>
      </w:r>
      <w:r w:rsidR="001211E2">
        <w:t>a</w:t>
      </w:r>
      <w:r w:rsidR="001211E2" w:rsidRPr="001211E2">
        <w:t xml:space="preserve">ging) </w:t>
      </w:r>
      <w:r>
        <w:t xml:space="preserve"> to serve as the VHA’s designated entity for delivering the Veterans-Directed Hom</w:t>
      </w:r>
      <w:r w:rsidR="00D2305D">
        <w:t>e and Community Based Services p</w:t>
      </w:r>
      <w:r>
        <w:t>rogram (VD-HCBS)</w:t>
      </w:r>
      <w:r w:rsidR="001211E2">
        <w:t xml:space="preserve"> to our nation’s veterans</w:t>
      </w:r>
      <w:r>
        <w:t xml:space="preserve">. </w:t>
      </w:r>
    </w:p>
    <w:p w:rsidR="00BB7EDF" w:rsidRDefault="00BB7EDF" w:rsidP="00BB7EDF">
      <w:pPr>
        <w:contextualSpacing/>
        <w:jc w:val="both"/>
      </w:pPr>
    </w:p>
    <w:p w:rsidR="001211E2" w:rsidRDefault="00BB7EDF" w:rsidP="001211E2">
      <w:pPr>
        <w:contextualSpacing/>
        <w:jc w:val="both"/>
      </w:pPr>
      <w:r>
        <w:t>In 2010, the Affordable Care Ac</w:t>
      </w:r>
      <w:r w:rsidR="00423658">
        <w:t>t (ACA)</w:t>
      </w:r>
      <w:r>
        <w:t xml:space="preserve"> provided $50 million over five years to support the further development of the ADRC </w:t>
      </w:r>
      <w:r w:rsidR="00E264D2">
        <w:t>p</w:t>
      </w:r>
      <w:r>
        <w:t xml:space="preserve">rogram. The ACA also funded the CMS Balancing Incentive </w:t>
      </w:r>
      <w:r w:rsidR="00D2305D">
        <w:t>p</w:t>
      </w:r>
      <w:r>
        <w:t xml:space="preserve">rogram to incentivize states to rebalance their Medicaid LTSS spending and required participating states to make changes to their LTSS </w:t>
      </w:r>
      <w:r w:rsidR="00D2305D">
        <w:t>s</w:t>
      </w:r>
      <w:r>
        <w:t>ystems, including developing statewide NWD programs.</w:t>
      </w:r>
      <w:r w:rsidR="00E264D2">
        <w:t xml:space="preserve"> </w:t>
      </w:r>
      <w:r>
        <w:t xml:space="preserve"> In 2012, recognizing the accomplishments of both the ADRC and Balancing Incentive </w:t>
      </w:r>
      <w:r w:rsidR="00D2305D">
        <w:t xml:space="preserve">program </w:t>
      </w:r>
      <w:r>
        <w:t xml:space="preserve">initiatives, as well as the lessons learned from the experience of states, ACL, CMS and the VHA issued a special funding opportunity – known as the 2012 “ADRC Part A Grant Program.” With the 2012 funding opportunity announcement, ACL officially adopted the “No Wrong Door” </w:t>
      </w:r>
      <w:r w:rsidR="00D2305D">
        <w:t>s</w:t>
      </w:r>
      <w:r>
        <w:t xml:space="preserve">ystem for the ADRC Part A grants.  Lessons learned from these grants demonstrated that no one agency or network could successfully implement a LTSS access system for all populations and all payers without having multiple agencies and organizations at the state and local level formally involved in the system's operations. </w:t>
      </w:r>
      <w:r w:rsidR="001211E2">
        <w:t xml:space="preserve"> Two additional outcomes resulting from this collaboration included NWD system guidance on 1) Key Functional Elements of NWD </w:t>
      </w:r>
      <w:r w:rsidR="00D2305D">
        <w:t>s</w:t>
      </w:r>
      <w:r w:rsidR="001211E2">
        <w:t xml:space="preserve">ystem and 2) Sustaining NWD </w:t>
      </w:r>
      <w:r w:rsidR="00D2305D">
        <w:t>f</w:t>
      </w:r>
      <w:r w:rsidR="001211E2">
        <w:t xml:space="preserve">unctions through Medicaid Administrative Match.  In January 2016, CMS posted the NWD System Medicaid Administrative Guidance to help sustain the infrastructure investments that states have made over the years.  NWD System Medicaid Administrative Guidance was developed to inform states about the appropriate methods for claiming </w:t>
      </w:r>
      <w:r w:rsidR="008970B6">
        <w:t xml:space="preserve">Medicaid </w:t>
      </w:r>
      <w:r w:rsidR="001211E2">
        <w:t>federal matching funds</w:t>
      </w:r>
      <w:r w:rsidR="008970B6">
        <w:t>.</w:t>
      </w:r>
      <w:r w:rsidR="001211E2">
        <w:t xml:space="preserve"> </w:t>
      </w:r>
    </w:p>
    <w:p w:rsidR="001211E2" w:rsidRDefault="001211E2" w:rsidP="001211E2">
      <w:pPr>
        <w:contextualSpacing/>
        <w:jc w:val="both"/>
      </w:pPr>
    </w:p>
    <w:p w:rsidR="00BB7EDF" w:rsidRDefault="001211E2" w:rsidP="00BB7EDF">
      <w:pPr>
        <w:contextualSpacing/>
        <w:jc w:val="both"/>
      </w:pPr>
      <w:r>
        <w:t xml:space="preserve">Also posted on the CMS website is the NWD System Key Elements which describes the vision and functions of the NWD system. </w:t>
      </w:r>
      <w:r w:rsidR="00BB7EDF">
        <w:t xml:space="preserve">The ACL/CMS/VHA vision is that each state will have a single statewide NWD System to LTSS for all populations and all payers. </w:t>
      </w:r>
      <w:r w:rsidR="004468C5" w:rsidRPr="004468C5">
        <w:t xml:space="preserve"> </w:t>
      </w:r>
      <w:r w:rsidR="00BB7EDF">
        <w:t xml:space="preserve">The NWD </w:t>
      </w:r>
      <w:r w:rsidR="00D2305D">
        <w:t>s</w:t>
      </w:r>
      <w:r w:rsidR="00BB7EDF">
        <w:t>ystem functions include:</w:t>
      </w:r>
    </w:p>
    <w:p w:rsidR="00BB7EDF" w:rsidRDefault="00BB7EDF" w:rsidP="00FA2C70">
      <w:pPr>
        <w:pStyle w:val="ListParagraph"/>
        <w:numPr>
          <w:ilvl w:val="0"/>
          <w:numId w:val="19"/>
        </w:numPr>
        <w:jc w:val="both"/>
      </w:pPr>
      <w:r>
        <w:t xml:space="preserve">Public </w:t>
      </w:r>
      <w:r w:rsidR="0077537C">
        <w:t>o</w:t>
      </w:r>
      <w:r>
        <w:t xml:space="preserve">utreach and </w:t>
      </w:r>
      <w:r w:rsidR="0077537C">
        <w:t>c</w:t>
      </w:r>
      <w:r>
        <w:t xml:space="preserve">oordination with </w:t>
      </w:r>
      <w:r w:rsidR="0077537C">
        <w:t>k</w:t>
      </w:r>
      <w:r>
        <w:t xml:space="preserve">ey </w:t>
      </w:r>
      <w:r w:rsidR="0077537C">
        <w:t>r</w:t>
      </w:r>
      <w:r>
        <w:t xml:space="preserve">eferral </w:t>
      </w:r>
      <w:r w:rsidR="0077537C">
        <w:t>s</w:t>
      </w:r>
      <w:r>
        <w:t>ources;</w:t>
      </w:r>
    </w:p>
    <w:p w:rsidR="00BB7EDF" w:rsidRDefault="00BB7EDF" w:rsidP="00FA2C70">
      <w:pPr>
        <w:pStyle w:val="ListParagraph"/>
        <w:numPr>
          <w:ilvl w:val="0"/>
          <w:numId w:val="19"/>
        </w:numPr>
        <w:jc w:val="both"/>
      </w:pPr>
      <w:r>
        <w:t>Person</w:t>
      </w:r>
      <w:r w:rsidR="0077537C">
        <w:t>-c</w:t>
      </w:r>
      <w:r>
        <w:t xml:space="preserve">entered </w:t>
      </w:r>
      <w:r w:rsidR="0077537C">
        <w:t>c</w:t>
      </w:r>
      <w:r>
        <w:t>ounseling;</w:t>
      </w:r>
    </w:p>
    <w:p w:rsidR="00BB7EDF" w:rsidRDefault="00BB7EDF" w:rsidP="00FA2C70">
      <w:pPr>
        <w:pStyle w:val="ListParagraph"/>
        <w:numPr>
          <w:ilvl w:val="0"/>
          <w:numId w:val="19"/>
        </w:numPr>
        <w:jc w:val="both"/>
      </w:pPr>
      <w:r>
        <w:t xml:space="preserve">Streamlined </w:t>
      </w:r>
      <w:r w:rsidR="0077537C">
        <w:t>a</w:t>
      </w:r>
      <w:r>
        <w:t xml:space="preserve">ccess to </w:t>
      </w:r>
      <w:r w:rsidR="0077537C">
        <w:t>p</w:t>
      </w:r>
      <w:r>
        <w:t xml:space="preserve">ublic LTSS </w:t>
      </w:r>
      <w:r w:rsidR="0077537C">
        <w:t>p</w:t>
      </w:r>
      <w:r>
        <w:t>rograms; and,</w:t>
      </w:r>
    </w:p>
    <w:p w:rsidR="00BB7EDF" w:rsidRDefault="00BB7EDF" w:rsidP="00FA2C70">
      <w:pPr>
        <w:pStyle w:val="ListParagraph"/>
        <w:numPr>
          <w:ilvl w:val="0"/>
          <w:numId w:val="19"/>
        </w:numPr>
        <w:jc w:val="both"/>
      </w:pPr>
      <w:r>
        <w:t xml:space="preserve">State </w:t>
      </w:r>
      <w:r w:rsidR="0077537C">
        <w:t>g</w:t>
      </w:r>
      <w:r>
        <w:t xml:space="preserve">overnance and </w:t>
      </w:r>
      <w:r w:rsidR="0077537C">
        <w:t>a</w:t>
      </w:r>
      <w:r>
        <w:t>dministration.</w:t>
      </w:r>
    </w:p>
    <w:p w:rsidR="00BB7EDF" w:rsidRDefault="00BB7EDF" w:rsidP="00BB7EDF">
      <w:pPr>
        <w:contextualSpacing/>
        <w:jc w:val="both"/>
      </w:pPr>
    </w:p>
    <w:p w:rsidR="00BB7EDF" w:rsidRPr="0077537C" w:rsidRDefault="00BB7EDF" w:rsidP="00BB7EDF">
      <w:pPr>
        <w:contextualSpacing/>
        <w:jc w:val="both"/>
        <w:rPr>
          <w:u w:val="single"/>
        </w:rPr>
      </w:pPr>
      <w:r w:rsidRPr="0077537C">
        <w:rPr>
          <w:u w:val="single"/>
        </w:rPr>
        <w:t>Public Outreach and Coordination with Key Referral Sources</w:t>
      </w:r>
    </w:p>
    <w:p w:rsidR="00BB7EDF" w:rsidRDefault="00BB7EDF" w:rsidP="00BB7EDF">
      <w:pPr>
        <w:contextualSpacing/>
        <w:jc w:val="both"/>
      </w:pPr>
    </w:p>
    <w:p w:rsidR="00BB7EDF" w:rsidRDefault="00BB7EDF" w:rsidP="00BB7EDF">
      <w:pPr>
        <w:contextualSpacing/>
        <w:jc w:val="both"/>
      </w:pPr>
      <w:r>
        <w:t xml:space="preserve">To be a visible source of individualized counseling and help with accessing LTSS, the NWD </w:t>
      </w:r>
      <w:r w:rsidR="0077537C">
        <w:t>s</w:t>
      </w:r>
      <w:r>
        <w:t xml:space="preserve">ystem must proactively engage in public education to promote broad public awareness of the resources that are available. The goal is for citizens </w:t>
      </w:r>
      <w:r w:rsidR="00423658">
        <w:t>in each</w:t>
      </w:r>
      <w:r>
        <w:t xml:space="preserve"> state to know where they can turn to for unbiased and trusted help in understanding and accessing the LTSS options that are available in their communities. A NWD </w:t>
      </w:r>
      <w:r w:rsidR="0077537C">
        <w:t>s</w:t>
      </w:r>
      <w:r>
        <w:t>ystem’s public education efforts give</w:t>
      </w:r>
      <w:r w:rsidR="008970B6">
        <w:t>s</w:t>
      </w:r>
      <w:r>
        <w:t xml:space="preserve"> special attention to underserved and hard-to-reach populations, including people with hearing and visual impairments and limited English speaking populations.</w:t>
      </w:r>
    </w:p>
    <w:p w:rsidR="00BB7EDF" w:rsidRDefault="00BB7EDF" w:rsidP="00BB7EDF">
      <w:pPr>
        <w:contextualSpacing/>
        <w:jc w:val="both"/>
      </w:pPr>
    </w:p>
    <w:p w:rsidR="00BB7EDF" w:rsidRDefault="00BB7EDF" w:rsidP="00BB7EDF">
      <w:pPr>
        <w:contextualSpacing/>
        <w:jc w:val="both"/>
      </w:pPr>
      <w:r>
        <w:t xml:space="preserve">A fully operational NWD </w:t>
      </w:r>
      <w:r w:rsidR="0077537C">
        <w:t>s</w:t>
      </w:r>
      <w:r>
        <w:t>ystem ha</w:t>
      </w:r>
      <w:r w:rsidR="008970B6">
        <w:t>s</w:t>
      </w:r>
      <w:r>
        <w:t xml:space="preserve"> formal linkages between and among all the major pathways that people travel while transitioning from one health care setting to another or from one public </w:t>
      </w:r>
      <w:r>
        <w:lastRenderedPageBreak/>
        <w:t xml:space="preserve">program payer to another. These pathways represent critical junctures where decisions are made – usually in a time of crisis - that often determine whether a person is permanently institutionalized or transitioned back to the community. Among the key sources of referral the NWD </w:t>
      </w:r>
      <w:r w:rsidR="0077537C">
        <w:t>s</w:t>
      </w:r>
      <w:r>
        <w:t xml:space="preserve">ystem must have formal linkages with </w:t>
      </w:r>
      <w:r w:rsidR="00A50904">
        <w:t>include</w:t>
      </w:r>
      <w:r>
        <w:t xml:space="preserve"> </w:t>
      </w:r>
      <w:r w:rsidR="00A50904">
        <w:t>i</w:t>
      </w:r>
      <w:r>
        <w:t xml:space="preserve">nformation and </w:t>
      </w:r>
      <w:r w:rsidR="00A50904">
        <w:t>r</w:t>
      </w:r>
      <w:r>
        <w:t xml:space="preserve">eferral </w:t>
      </w:r>
      <w:r w:rsidR="00A50904">
        <w:t>e</w:t>
      </w:r>
      <w:r>
        <w:t>ntities</w:t>
      </w:r>
      <w:r w:rsidR="00A50904">
        <w:t>,</w:t>
      </w:r>
      <w:r>
        <w:t xml:space="preserve"> </w:t>
      </w:r>
      <w:r w:rsidR="00A50904">
        <w:t>n</w:t>
      </w:r>
      <w:r>
        <w:t xml:space="preserve">ursing </w:t>
      </w:r>
      <w:r w:rsidR="00A50904">
        <w:t>h</w:t>
      </w:r>
      <w:r>
        <w:t xml:space="preserve">omes and other </w:t>
      </w:r>
      <w:r w:rsidR="00A50904">
        <w:t>i</w:t>
      </w:r>
      <w:r>
        <w:t>nstitutions</w:t>
      </w:r>
      <w:r w:rsidR="00A50904">
        <w:t>,</w:t>
      </w:r>
      <w:r>
        <w:t xml:space="preserve"> </w:t>
      </w:r>
      <w:r w:rsidR="00A50904">
        <w:t>a</w:t>
      </w:r>
      <w:r>
        <w:t xml:space="preserve">cute </w:t>
      </w:r>
      <w:r w:rsidR="00A50904">
        <w:t>c</w:t>
      </w:r>
      <w:r>
        <w:t xml:space="preserve">are </w:t>
      </w:r>
      <w:r w:rsidR="00A50904">
        <w:t>s</w:t>
      </w:r>
      <w:r>
        <w:t>ystems</w:t>
      </w:r>
      <w:r w:rsidR="00A50904">
        <w:t>,</w:t>
      </w:r>
      <w:r>
        <w:t xml:space="preserve"> and VA </w:t>
      </w:r>
      <w:r w:rsidR="00A50904">
        <w:t>m</w:t>
      </w:r>
      <w:r>
        <w:t>edical</w:t>
      </w:r>
      <w:r w:rsidR="00A50904">
        <w:t xml:space="preserve"> </w:t>
      </w:r>
      <w:r>
        <w:t>Centers.</w:t>
      </w:r>
    </w:p>
    <w:p w:rsidR="001211E2" w:rsidRDefault="001211E2" w:rsidP="00BB7EDF">
      <w:pPr>
        <w:contextualSpacing/>
        <w:jc w:val="both"/>
        <w:rPr>
          <w:u w:val="single"/>
        </w:rPr>
      </w:pPr>
    </w:p>
    <w:p w:rsidR="00BB7EDF" w:rsidRPr="0077537C" w:rsidRDefault="00BB7EDF" w:rsidP="00BB7EDF">
      <w:pPr>
        <w:contextualSpacing/>
        <w:jc w:val="both"/>
        <w:rPr>
          <w:u w:val="single"/>
        </w:rPr>
      </w:pPr>
      <w:r w:rsidRPr="0077537C">
        <w:rPr>
          <w:u w:val="single"/>
        </w:rPr>
        <w:t>Person</w:t>
      </w:r>
      <w:r w:rsidR="0077537C">
        <w:rPr>
          <w:u w:val="single"/>
        </w:rPr>
        <w:t>-</w:t>
      </w:r>
      <w:r w:rsidRPr="0077537C">
        <w:rPr>
          <w:u w:val="single"/>
        </w:rPr>
        <w:t>Centered Counseling</w:t>
      </w:r>
    </w:p>
    <w:p w:rsidR="00BB7EDF" w:rsidRDefault="00BB7EDF" w:rsidP="00BB7EDF">
      <w:pPr>
        <w:contextualSpacing/>
        <w:jc w:val="both"/>
      </w:pPr>
    </w:p>
    <w:p w:rsidR="00BB7EDF" w:rsidRDefault="00BB7EDF" w:rsidP="00BB7EDF">
      <w:pPr>
        <w:contextualSpacing/>
        <w:jc w:val="both"/>
      </w:pPr>
      <w:r>
        <w:t>Person</w:t>
      </w:r>
      <w:r w:rsidR="0077537C">
        <w:t>-</w:t>
      </w:r>
      <w:r>
        <w:t>Center</w:t>
      </w:r>
      <w:r w:rsidR="0077537C">
        <w:t>ed Counseling (PCC) is the NWD s</w:t>
      </w:r>
      <w:r>
        <w:t>ystem term for person</w:t>
      </w:r>
      <w:r w:rsidR="0077537C">
        <w:t>-</w:t>
      </w:r>
      <w:r>
        <w:t xml:space="preserve">centered planning which is an approach </w:t>
      </w:r>
      <w:r w:rsidR="008379DA">
        <w:t xml:space="preserve">for </w:t>
      </w:r>
      <w:r>
        <w:t xml:space="preserve">working with individuals required in the LTSS </w:t>
      </w:r>
      <w:r w:rsidR="0077537C">
        <w:t>s</w:t>
      </w:r>
      <w:r>
        <w:t>ystem</w:t>
      </w:r>
      <w:r w:rsidR="008970B6">
        <w:t>.</w:t>
      </w:r>
    </w:p>
    <w:p w:rsidR="00BB7EDF" w:rsidRDefault="00BB7EDF" w:rsidP="00BB7EDF">
      <w:pPr>
        <w:contextualSpacing/>
        <w:jc w:val="both"/>
      </w:pPr>
    </w:p>
    <w:p w:rsidR="005A659E" w:rsidRDefault="00BB7EDF" w:rsidP="00BB7EDF">
      <w:pPr>
        <w:contextualSpacing/>
        <w:jc w:val="both"/>
        <w:rPr>
          <w:i/>
          <w:u w:val="single"/>
        </w:rPr>
      </w:pPr>
      <w:r>
        <w:t>T</w:t>
      </w:r>
      <w:r w:rsidR="00D2305D">
        <w:t>hrough the use of PCC, the NWD s</w:t>
      </w:r>
      <w:r>
        <w:t>ystem empower</w:t>
      </w:r>
      <w:r w:rsidR="0077537C">
        <w:t>s</w:t>
      </w:r>
      <w:r>
        <w:t xml:space="preserve"> individuals to make informed choices about their LTSS options consistent with their personal goals, and to successfully navigate the various organizations, agencies and other resources in their communities that provide LTSS. PCC is very different from and requires a different skill set compared to tradition</w:t>
      </w:r>
      <w:r w:rsidR="003B586D">
        <w:t>al</w:t>
      </w:r>
      <w:r>
        <w:t xml:space="preserve"> case management and other commonly used techniques for counseling individuals with LTSS needs</w:t>
      </w:r>
      <w:r w:rsidR="0077537C">
        <w:t>.</w:t>
      </w:r>
      <w:r>
        <w:t xml:space="preserve"> </w:t>
      </w:r>
      <w:r w:rsidR="0077537C">
        <w:t>I</w:t>
      </w:r>
      <w:r>
        <w:t xml:space="preserve">t will take time for our current LTSS workforce to develop the knowledge and skills required to fully embrace and effectively use PCC.  The NWD </w:t>
      </w:r>
      <w:r w:rsidR="0077537C">
        <w:t>s</w:t>
      </w:r>
      <w:r>
        <w:t>ystem PCC function involves five basic steps:</w:t>
      </w:r>
      <w:r w:rsidR="0077537C">
        <w:t xml:space="preserve"> </w:t>
      </w:r>
      <w:r>
        <w:t xml:space="preserve">1) conducting a personal interview; 2) developing a person-centered plan; 3) facilitating access to private services and supports; 4) facilitating streamlined assess to public programs; and 5) conducting ongoing follow-up. </w:t>
      </w:r>
    </w:p>
    <w:p w:rsidR="008379DA" w:rsidRPr="008379DA" w:rsidRDefault="008379DA" w:rsidP="00BB7EDF">
      <w:pPr>
        <w:contextualSpacing/>
        <w:jc w:val="both"/>
        <w:rPr>
          <w:u w:val="single"/>
        </w:rPr>
      </w:pPr>
    </w:p>
    <w:p w:rsidR="00BB7EDF" w:rsidRPr="0077537C" w:rsidRDefault="00BB7EDF" w:rsidP="00BB7EDF">
      <w:pPr>
        <w:contextualSpacing/>
        <w:jc w:val="both"/>
        <w:rPr>
          <w:u w:val="single"/>
        </w:rPr>
      </w:pPr>
      <w:r w:rsidRPr="0077537C">
        <w:rPr>
          <w:u w:val="single"/>
        </w:rPr>
        <w:t>Streamlined Access to Public LTSS Programs</w:t>
      </w:r>
    </w:p>
    <w:p w:rsidR="00BB7EDF" w:rsidRDefault="00BB7EDF" w:rsidP="00BB7EDF">
      <w:pPr>
        <w:contextualSpacing/>
        <w:jc w:val="both"/>
      </w:pPr>
    </w:p>
    <w:p w:rsidR="00BB7EDF" w:rsidRDefault="00BB7EDF" w:rsidP="00BB7EDF">
      <w:pPr>
        <w:contextualSpacing/>
        <w:jc w:val="both"/>
      </w:pPr>
      <w:r>
        <w:t xml:space="preserve">NWD </w:t>
      </w:r>
      <w:r w:rsidR="0077537C">
        <w:t>s</w:t>
      </w:r>
      <w:r>
        <w:t xml:space="preserve">ystem's </w:t>
      </w:r>
      <w:r w:rsidR="0077537C">
        <w:t>s</w:t>
      </w:r>
      <w:r>
        <w:t xml:space="preserve">treamlined </w:t>
      </w:r>
      <w:r w:rsidR="0077537C">
        <w:t>a</w:t>
      </w:r>
      <w:r>
        <w:t xml:space="preserve">ccess to </w:t>
      </w:r>
      <w:r w:rsidR="0077537C">
        <w:t>p</w:t>
      </w:r>
      <w:r>
        <w:t xml:space="preserve">ublic </w:t>
      </w:r>
      <w:r w:rsidR="00ED7010">
        <w:t xml:space="preserve">LTSS </w:t>
      </w:r>
      <w:r w:rsidR="0077537C">
        <w:t>p</w:t>
      </w:r>
      <w:r>
        <w:t xml:space="preserve">rograms includes all the processes and requirements associated with conducting formal assessments and/or determining an individual’s eligibility that are required by any of the state administered programs that provide LTSS to any of the NWD </w:t>
      </w:r>
      <w:r w:rsidR="0077537C">
        <w:t>sy</w:t>
      </w:r>
      <w:r>
        <w:t>stem population</w:t>
      </w:r>
      <w:r w:rsidR="0077537C">
        <w:t>s</w:t>
      </w:r>
      <w:r>
        <w:t xml:space="preserve">. All these public access processes and requirements must be part of, and integrated into, the state’s NWD </w:t>
      </w:r>
      <w:r w:rsidR="0077537C">
        <w:t>s</w:t>
      </w:r>
      <w:r>
        <w:t xml:space="preserve">ystem's streamlined access function, so states can use their NWD </w:t>
      </w:r>
      <w:r w:rsidR="0077537C">
        <w:t>s</w:t>
      </w:r>
      <w:r>
        <w:t xml:space="preserve">ystem as a vehicle for optimally coordinating and integrating these processes to make them more efficient and effective, and more seamless and responsive for consumers. </w:t>
      </w:r>
    </w:p>
    <w:p w:rsidR="00254EEB" w:rsidRDefault="00254EEB" w:rsidP="00BB7EDF">
      <w:pPr>
        <w:contextualSpacing/>
        <w:jc w:val="both"/>
      </w:pPr>
    </w:p>
    <w:p w:rsidR="00BB7EDF" w:rsidRDefault="001211E2" w:rsidP="00BB7EDF">
      <w:pPr>
        <w:contextualSpacing/>
        <w:jc w:val="both"/>
      </w:pPr>
      <w:r>
        <w:t>For example, t</w:t>
      </w:r>
      <w:r w:rsidR="00BB7EDF">
        <w:t xml:space="preserve">he NWD </w:t>
      </w:r>
      <w:r w:rsidR="0077537C">
        <w:t>s</w:t>
      </w:r>
      <w:r w:rsidR="00BB7EDF">
        <w:t>ystem person</w:t>
      </w:r>
      <w:r w:rsidR="0077537C">
        <w:t>-</w:t>
      </w:r>
      <w:r w:rsidR="00BB7EDF">
        <w:t xml:space="preserve">centered counselors can help ensure applications are </w:t>
      </w:r>
      <w:r w:rsidR="009414D2">
        <w:t>completely filled out with all the information needed</w:t>
      </w:r>
      <w:r w:rsidR="00BB7EDF">
        <w:t xml:space="preserve"> when the</w:t>
      </w:r>
      <w:r w:rsidR="009414D2">
        <w:t xml:space="preserve"> applicant</w:t>
      </w:r>
      <w:r w:rsidR="004112D9">
        <w:t xml:space="preserve"> </w:t>
      </w:r>
      <w:r w:rsidR="008970B6">
        <w:t>applies for public assistance</w:t>
      </w:r>
      <w:r w:rsidR="00BB7EDF">
        <w:t xml:space="preserve">, thereby reducing the burden of the application process for both </w:t>
      </w:r>
      <w:r w:rsidR="008970B6">
        <w:t>intake</w:t>
      </w:r>
      <w:r w:rsidR="00BB7EDF">
        <w:t xml:space="preserve"> staff </w:t>
      </w:r>
      <w:r w:rsidR="0077537C">
        <w:t>and consumers. Even if the NWD s</w:t>
      </w:r>
      <w:r w:rsidR="00BB7EDF">
        <w:t>ystem person</w:t>
      </w:r>
      <w:r w:rsidR="0077537C">
        <w:t>-</w:t>
      </w:r>
      <w:r w:rsidR="00BB7EDF">
        <w:t xml:space="preserve">centered counselor is not designated to do the preliminary assessment, the data gathered by the NWD </w:t>
      </w:r>
      <w:r w:rsidR="0077537C">
        <w:t>s</w:t>
      </w:r>
      <w:r w:rsidR="00BB7EDF">
        <w:t>ystem person</w:t>
      </w:r>
      <w:r w:rsidR="0077537C">
        <w:t>-</w:t>
      </w:r>
      <w:r w:rsidR="00526710">
        <w:t xml:space="preserve"> </w:t>
      </w:r>
      <w:r w:rsidR="00BB7EDF">
        <w:t xml:space="preserve">centered counselor during the PCC process </w:t>
      </w:r>
      <w:r w:rsidR="008970B6">
        <w:t>is</w:t>
      </w:r>
      <w:r w:rsidR="00BB7EDF">
        <w:t xml:space="preserve"> fed into the preliminary assessment and then automatically transferred into the final assessment process.</w:t>
      </w:r>
    </w:p>
    <w:p w:rsidR="00E24A31" w:rsidRDefault="00E24A31" w:rsidP="00BB7EDF">
      <w:pPr>
        <w:contextualSpacing/>
        <w:jc w:val="both"/>
      </w:pPr>
    </w:p>
    <w:p w:rsidR="00BB7EDF" w:rsidRPr="0077537C" w:rsidRDefault="00BB7EDF" w:rsidP="00BB7EDF">
      <w:pPr>
        <w:contextualSpacing/>
        <w:jc w:val="both"/>
        <w:rPr>
          <w:u w:val="single"/>
        </w:rPr>
      </w:pPr>
      <w:r w:rsidRPr="0077537C">
        <w:rPr>
          <w:u w:val="single"/>
        </w:rPr>
        <w:t>State Governance and Administration</w:t>
      </w:r>
    </w:p>
    <w:p w:rsidR="00E24A31" w:rsidRDefault="00E24A31" w:rsidP="00BB7EDF">
      <w:pPr>
        <w:contextualSpacing/>
        <w:jc w:val="both"/>
        <w:rPr>
          <w:i/>
          <w:u w:val="single"/>
        </w:rPr>
      </w:pPr>
    </w:p>
    <w:p w:rsidR="00526710" w:rsidRDefault="00526710" w:rsidP="00526710">
      <w:pPr>
        <w:contextualSpacing/>
        <w:jc w:val="both"/>
      </w:pPr>
      <w:r>
        <w:t xml:space="preserve">The governance and administration of a NWD </w:t>
      </w:r>
      <w:r w:rsidR="0077537C">
        <w:t>s</w:t>
      </w:r>
      <w:r>
        <w:t>ystem involve</w:t>
      </w:r>
      <w:r w:rsidR="008970B6">
        <w:t>s</w:t>
      </w:r>
      <w:r>
        <w:t xml:space="preserve"> a collaborative effort among multiple state agencies, since no one state agency has the authority or expertise to carry out all of the functions involved in a NWD </w:t>
      </w:r>
      <w:r w:rsidR="0077537C">
        <w:t>s</w:t>
      </w:r>
      <w:r>
        <w:t xml:space="preserve">ystem as envisioned by ACL, CMS and VHA. The NWD </w:t>
      </w:r>
      <w:r w:rsidR="0077537C">
        <w:t>s</w:t>
      </w:r>
      <w:r>
        <w:t xml:space="preserve">ystem is a critical component of any well-developed, person-centered state LTSS </w:t>
      </w:r>
      <w:r w:rsidR="0077537C">
        <w:t>s</w:t>
      </w:r>
      <w:r>
        <w:t xml:space="preserve">ystem.  </w:t>
      </w:r>
      <w:r w:rsidR="008970B6">
        <w:t>Its</w:t>
      </w:r>
      <w:r w:rsidR="004112D9">
        <w:t xml:space="preserve"> </w:t>
      </w:r>
      <w:r w:rsidR="008970B6">
        <w:t xml:space="preserve">governing </w:t>
      </w:r>
      <w:r>
        <w:t xml:space="preserve">body </w:t>
      </w:r>
      <w:r w:rsidR="008970B6">
        <w:t>is</w:t>
      </w:r>
      <w:r>
        <w:t xml:space="preserve"> responsible for coordinating the on-going development, implementation, financing, evaluation and continual improvement of the state's NWD </w:t>
      </w:r>
      <w:r w:rsidR="0077537C">
        <w:t>s</w:t>
      </w:r>
      <w:r>
        <w:t>ystem. It include</w:t>
      </w:r>
      <w:r w:rsidR="008970B6">
        <w:t>s</w:t>
      </w:r>
      <w:r>
        <w:t xml:space="preserve"> representatives from the State Medicaid Agency, the State Unit on Aging, and the state agencies that serve or represent the interests of individuals with physical disabilities, individuals with </w:t>
      </w:r>
      <w:r>
        <w:lastRenderedPageBreak/>
        <w:t xml:space="preserve">intellectual and developmental disabilities, and the state authorities administering mental health services.  NWD </w:t>
      </w:r>
      <w:r w:rsidR="00A73C27">
        <w:t>s</w:t>
      </w:r>
      <w:r>
        <w:t>ystem</w:t>
      </w:r>
      <w:r w:rsidR="008970B6">
        <w:t>s</w:t>
      </w:r>
      <w:r w:rsidR="00F825F0">
        <w:t xml:space="preserve"> </w:t>
      </w:r>
      <w:r>
        <w:t>also include a robust Management Information System (MIS) that builds on and leverages existing state MIS systems</w:t>
      </w:r>
      <w:r w:rsidR="00F825F0">
        <w:t xml:space="preserve">, which is </w:t>
      </w:r>
      <w:r>
        <w:t xml:space="preserve">essential for a state to be able to effectively gather and manage information from the many entities that will be carrying out NWD </w:t>
      </w:r>
      <w:r w:rsidR="00A73C27">
        <w:t>s</w:t>
      </w:r>
      <w:r>
        <w:t>ystem functions, as well as from indivi</w:t>
      </w:r>
      <w:r w:rsidR="00A73C27">
        <w:t>dual consumers who use the NWD s</w:t>
      </w:r>
      <w:r>
        <w:t xml:space="preserve">ystem.  The NWD </w:t>
      </w:r>
      <w:r w:rsidR="00A73C27">
        <w:t>s</w:t>
      </w:r>
      <w:r>
        <w:t>ystem’s Continuous Quality Improvement process involve</w:t>
      </w:r>
      <w:r w:rsidR="008970B6">
        <w:t>s</w:t>
      </w:r>
      <w:r>
        <w:t xml:space="preserve"> getting input and feedback from the many different customers who use or interact with the NWD </w:t>
      </w:r>
      <w:r w:rsidR="00A73C27">
        <w:t>s</w:t>
      </w:r>
      <w:r>
        <w:t xml:space="preserve">ystem, including individuals and their families, system partners, advocates, providers and professionals in the health and LTSS systems, on the responsiveness of the NWD </w:t>
      </w:r>
      <w:r w:rsidR="00A73C27">
        <w:t>s</w:t>
      </w:r>
      <w:r>
        <w:t xml:space="preserve">ystem to their varying needs. </w:t>
      </w:r>
    </w:p>
    <w:p w:rsidR="00526710" w:rsidRDefault="00526710" w:rsidP="00526710">
      <w:pPr>
        <w:contextualSpacing/>
        <w:jc w:val="both"/>
      </w:pPr>
    </w:p>
    <w:p w:rsidR="00526710" w:rsidRDefault="008970B6" w:rsidP="00526710">
      <w:pPr>
        <w:contextualSpacing/>
        <w:jc w:val="both"/>
      </w:pPr>
      <w:r>
        <w:t>The result of ADRD/NWD</w:t>
      </w:r>
      <w:r w:rsidR="00526710">
        <w:t xml:space="preserve"> investments</w:t>
      </w:r>
      <w:r w:rsidR="001211E2">
        <w:t xml:space="preserve"> include</w:t>
      </w:r>
      <w:r w:rsidR="00526710">
        <w:t xml:space="preserve">:   </w:t>
      </w:r>
    </w:p>
    <w:p w:rsidR="00526710" w:rsidRDefault="00526710" w:rsidP="00FA2C70">
      <w:pPr>
        <w:pStyle w:val="ListParagraph"/>
        <w:numPr>
          <w:ilvl w:val="0"/>
          <w:numId w:val="20"/>
        </w:numPr>
        <w:jc w:val="both"/>
      </w:pPr>
      <w:r>
        <w:t xml:space="preserve">545 ADRC sites have been designated across 50 states, two territories, and </w:t>
      </w:r>
      <w:r w:rsidR="00230E90">
        <w:t>the District of Columbia</w:t>
      </w:r>
      <w:r w:rsidR="001211E2">
        <w:t>;</w:t>
      </w:r>
    </w:p>
    <w:p w:rsidR="00526710" w:rsidRDefault="00526710" w:rsidP="00FA2C70">
      <w:pPr>
        <w:pStyle w:val="ListParagraph"/>
        <w:numPr>
          <w:ilvl w:val="0"/>
          <w:numId w:val="20"/>
        </w:numPr>
        <w:jc w:val="both"/>
      </w:pPr>
      <w:r>
        <w:t>Over 27 million ADRC contacts have been made to help streamline access to LTSS</w:t>
      </w:r>
      <w:r w:rsidR="001211E2">
        <w:t>;</w:t>
      </w:r>
    </w:p>
    <w:p w:rsidR="00526710" w:rsidRDefault="00526710" w:rsidP="00FA2C70">
      <w:pPr>
        <w:pStyle w:val="ListParagraph"/>
        <w:numPr>
          <w:ilvl w:val="0"/>
          <w:numId w:val="20"/>
        </w:numPr>
        <w:jc w:val="both"/>
      </w:pPr>
      <w:r>
        <w:t>33 states and territories h</w:t>
      </w:r>
      <w:r w:rsidR="001211E2">
        <w:t>ave achieved statewide coverage;</w:t>
      </w:r>
    </w:p>
    <w:p w:rsidR="00526710" w:rsidRDefault="00526710" w:rsidP="00FA2C70">
      <w:pPr>
        <w:pStyle w:val="ListParagraph"/>
        <w:numPr>
          <w:ilvl w:val="0"/>
          <w:numId w:val="20"/>
        </w:numPr>
        <w:jc w:val="both"/>
      </w:pPr>
      <w:r>
        <w:t>42 states/territories with ADRC programs sites conduct</w:t>
      </w:r>
      <w:r w:rsidR="001211E2">
        <w:t>ed</w:t>
      </w:r>
      <w:r>
        <w:t xml:space="preserve"> care transitions</w:t>
      </w:r>
      <w:r w:rsidR="001211E2">
        <w:t xml:space="preserve"> through formal intervention; and</w:t>
      </w:r>
    </w:p>
    <w:p w:rsidR="00526710" w:rsidRDefault="00526710" w:rsidP="00FA2C70">
      <w:pPr>
        <w:pStyle w:val="ListParagraph"/>
        <w:numPr>
          <w:ilvl w:val="0"/>
          <w:numId w:val="20"/>
        </w:numPr>
        <w:jc w:val="both"/>
      </w:pPr>
      <w:r>
        <w:t>303 sites in 43 states/territories reported serving clients with institutional transition from nursing facility</w:t>
      </w:r>
      <w:r w:rsidR="001211E2">
        <w:t xml:space="preserve"> (both MFP and non-MFP related) back into the community.</w:t>
      </w:r>
      <w:r>
        <w:t xml:space="preserve"> </w:t>
      </w:r>
    </w:p>
    <w:p w:rsidR="00526710" w:rsidRDefault="00526710" w:rsidP="00526710">
      <w:pPr>
        <w:contextualSpacing/>
        <w:jc w:val="both"/>
      </w:pPr>
    </w:p>
    <w:p w:rsidR="00526710" w:rsidRDefault="00526710" w:rsidP="00526710">
      <w:pPr>
        <w:contextualSpacing/>
        <w:jc w:val="both"/>
      </w:pPr>
      <w:r>
        <w:t xml:space="preserve">Rather than build a separate infrastructure to serve veterans, the VHA made a strategic decision to use the aging and disability network infrastructure – including using the ADRCs as the integrated access point to empower veterans to set-up their own service plan for long-term supports and services – as a delivery vehicle for VD-HCBS. The VHA’s intent is to continue to expand access to this program with the goal of eventually moving nationwide.  </w:t>
      </w:r>
      <w:r w:rsidR="001211E2">
        <w:t>ACL</w:t>
      </w:r>
      <w:r>
        <w:t xml:space="preserve"> and the VHA have worked together to develop program guidelines/national standards, web-based tools to track program activities and implement a national training program for the VD-HCBS.  Currently, 3</w:t>
      </w:r>
      <w:r w:rsidR="001211E2">
        <w:t>4</w:t>
      </w:r>
      <w:r>
        <w:t xml:space="preserve"> states plus the District of Columbia and Puerto Rico are operating VD-HCBS programs with </w:t>
      </w:r>
      <w:r w:rsidR="001211E2">
        <w:t>61</w:t>
      </w:r>
      <w:r>
        <w:t xml:space="preserve"> operational VAMCs, 1</w:t>
      </w:r>
      <w:r w:rsidR="00637632">
        <w:t>20</w:t>
      </w:r>
      <w:r>
        <w:t xml:space="preserve"> operational </w:t>
      </w:r>
      <w:r w:rsidR="00637632">
        <w:t>sites</w:t>
      </w:r>
      <w:r>
        <w:t xml:space="preserve"> and over 3,200 veterans served</w:t>
      </w:r>
      <w:r w:rsidR="00307727">
        <w:t>.</w:t>
      </w:r>
      <w:r>
        <w:t xml:space="preserve">  </w:t>
      </w:r>
      <w:r w:rsidR="00766E85">
        <w:t>This type of vital investment link</w:t>
      </w:r>
      <w:r w:rsidR="00F825F0">
        <w:t>s</w:t>
      </w:r>
      <w:r w:rsidR="00766E85">
        <w:t xml:space="preserve"> individuals to a cost-effective, quality array of services benefits individuals, states, and communities.</w:t>
      </w:r>
    </w:p>
    <w:p w:rsidR="000E1ACE" w:rsidRPr="00526710" w:rsidRDefault="000E1ACE" w:rsidP="00526710">
      <w:pPr>
        <w:contextualSpacing/>
        <w:jc w:val="both"/>
      </w:pPr>
    </w:p>
    <w:p w:rsidR="00BD68EE" w:rsidRPr="00505FE3" w:rsidRDefault="00BD68EE" w:rsidP="00EB7718">
      <w:pPr>
        <w:pStyle w:val="Heading2"/>
      </w:pPr>
      <w:bookmarkStart w:id="46" w:name="_Toc436738897"/>
      <w:bookmarkStart w:id="47" w:name="_Toc303606084"/>
      <w:bookmarkStart w:id="48" w:name="_Toc316405585"/>
      <w:bookmarkStart w:id="49" w:name="OLE_LINK13"/>
      <w:bookmarkStart w:id="50" w:name="OLE_LINK19"/>
      <w:bookmarkStart w:id="51" w:name="_Toc284574142"/>
      <w:bookmarkStart w:id="52" w:name="_Toc284575780"/>
      <w:bookmarkStart w:id="53" w:name="_Toc294712682"/>
      <w:bookmarkStart w:id="54" w:name="_Toc316405572"/>
      <w:bookmarkEnd w:id="44"/>
      <w:r w:rsidRPr="00505FE3">
        <w:t>Aging Network Support Activities</w:t>
      </w:r>
      <w:bookmarkEnd w:id="46"/>
    </w:p>
    <w:p w:rsidR="0075410E" w:rsidRPr="00051B22" w:rsidRDefault="00BD68EE" w:rsidP="0075410E">
      <w:pPr>
        <w:jc w:val="center"/>
        <w:rPr>
          <w:b/>
          <w:i/>
        </w:rPr>
      </w:pPr>
      <w:r w:rsidRPr="00051B22">
        <w:rPr>
          <w:b/>
          <w:i/>
        </w:rPr>
        <w:t>(FY 201</w:t>
      </w:r>
      <w:r w:rsidR="00984E3B">
        <w:rPr>
          <w:b/>
          <w:i/>
        </w:rPr>
        <w:t>5</w:t>
      </w:r>
      <w:r w:rsidRPr="00051B22">
        <w:rPr>
          <w:b/>
          <w:i/>
        </w:rPr>
        <w:t>: $</w:t>
      </w:r>
      <w:r w:rsidR="00984E3B">
        <w:rPr>
          <w:b/>
          <w:i/>
        </w:rPr>
        <w:t>9</w:t>
      </w:r>
      <w:r w:rsidR="003E5AD0" w:rsidRPr="00051B22">
        <w:rPr>
          <w:b/>
          <w:i/>
        </w:rPr>
        <w:t>,</w:t>
      </w:r>
      <w:r w:rsidR="00984E3B">
        <w:rPr>
          <w:b/>
          <w:i/>
        </w:rPr>
        <w:t>961</w:t>
      </w:r>
      <w:r w:rsidR="003E5AD0" w:rsidRPr="00051B22">
        <w:rPr>
          <w:b/>
          <w:i/>
        </w:rPr>
        <w:t>,000</w:t>
      </w:r>
      <w:r w:rsidRPr="00051B22">
        <w:rPr>
          <w:b/>
          <w:i/>
        </w:rPr>
        <w:t>)</w:t>
      </w:r>
    </w:p>
    <w:p w:rsidR="0075410E" w:rsidRDefault="0075410E" w:rsidP="0075410E">
      <w:pPr>
        <w:jc w:val="center"/>
        <w:rPr>
          <w:b/>
          <w:i/>
        </w:rPr>
      </w:pPr>
    </w:p>
    <w:p w:rsidR="00BD68EE" w:rsidRPr="00505FE3" w:rsidRDefault="00BD68EE" w:rsidP="0075410E">
      <w:pPr>
        <w:jc w:val="both"/>
      </w:pPr>
      <w:r w:rsidRPr="00505FE3">
        <w:t xml:space="preserve">Aging Network Support Activities provide competitive grants and contracts to support ongoing activities of national significance which help </w:t>
      </w:r>
      <w:r w:rsidR="00526710">
        <w:t>older adults</w:t>
      </w:r>
      <w:r w:rsidRPr="00505FE3">
        <w:t xml:space="preserve"> and their families to obtain information about their care options and benefits</w:t>
      </w:r>
      <w:r w:rsidR="00F825F0">
        <w:t>.  These activities</w:t>
      </w:r>
      <w:r w:rsidRPr="00505FE3">
        <w:t xml:space="preserve"> provide technical assistance to help states, tribes, and community providers of aging services to develop service systems that help older people remain independent and able to live in their own homes and communities. The</w:t>
      </w:r>
      <w:r w:rsidR="00F825F0">
        <w:t>y also</w:t>
      </w:r>
      <w:r w:rsidRPr="00505FE3">
        <w:t xml:space="preserve"> provide critical and ongoing support for the national aging services network and help support the activities of AoA’s core service delivery programs. </w:t>
      </w:r>
    </w:p>
    <w:p w:rsidR="00BD68EE" w:rsidRPr="00505FE3" w:rsidRDefault="00BD68EE" w:rsidP="00BD68EE">
      <w:pPr>
        <w:pStyle w:val="NormalTimes"/>
        <w:contextualSpacing/>
        <w:rPr>
          <w:rFonts w:ascii="Times New Roman" w:hAnsi="Times New Roman"/>
        </w:rPr>
      </w:pPr>
    </w:p>
    <w:p w:rsidR="00BD68EE" w:rsidRPr="00505FE3" w:rsidRDefault="00BD68EE" w:rsidP="00BD68EE">
      <w:pPr>
        <w:pStyle w:val="NormalTimes"/>
        <w:contextualSpacing/>
        <w:rPr>
          <w:rFonts w:ascii="Times New Roman" w:hAnsi="Times New Roman"/>
        </w:rPr>
      </w:pPr>
      <w:r w:rsidRPr="00505FE3">
        <w:rPr>
          <w:rFonts w:ascii="Times New Roman" w:hAnsi="Times New Roman"/>
        </w:rPr>
        <w:t xml:space="preserve">Competitive grants, cooperative agreements, and contracts for Aging Network Support Activities are awarded to eligible public or private agencies and organizations, states and area agencies on aging, institutions of higher learning, and other organizations representing and/or serving older people, including faith-based organizations. </w:t>
      </w:r>
      <w:r w:rsidR="00A73C27">
        <w:rPr>
          <w:rFonts w:ascii="Times New Roman" w:hAnsi="Times New Roman"/>
        </w:rPr>
        <w:t xml:space="preserve"> </w:t>
      </w:r>
      <w:r w:rsidRPr="00505FE3">
        <w:rPr>
          <w:rFonts w:ascii="Times New Roman" w:hAnsi="Times New Roman"/>
        </w:rPr>
        <w:t xml:space="preserve">Grantees are required to provide a match equal to 25 percent of the project’s total cost.  Project proposals are reviewed by external experts, and project awards are made for periods of one to four years. </w:t>
      </w:r>
    </w:p>
    <w:p w:rsidR="00BD68EE" w:rsidRPr="00505FE3" w:rsidRDefault="00BD68EE" w:rsidP="00BD68EE">
      <w:pPr>
        <w:pStyle w:val="NormalTimes"/>
        <w:contextualSpacing/>
        <w:rPr>
          <w:rFonts w:ascii="Times New Roman" w:hAnsi="Times New Roman"/>
        </w:rPr>
      </w:pPr>
    </w:p>
    <w:p w:rsidR="00F1615A" w:rsidRPr="00693823" w:rsidRDefault="00F1615A" w:rsidP="00F1615A">
      <w:pPr>
        <w:contextualSpacing/>
        <w:jc w:val="both"/>
      </w:pPr>
      <w:r w:rsidRPr="00693823">
        <w:t>To ensure that older Americans have access to the highest quality home and community-based service</w:t>
      </w:r>
      <w:r w:rsidR="00766E85">
        <w:t>s</w:t>
      </w:r>
      <w:r w:rsidRPr="00693823">
        <w:t xml:space="preserve"> system</w:t>
      </w:r>
      <w:r w:rsidR="00766E85">
        <w:t>,</w:t>
      </w:r>
      <w:r w:rsidRPr="00693823">
        <w:t xml:space="preserve"> the </w:t>
      </w:r>
      <w:r w:rsidR="00A73C27">
        <w:t>national a</w:t>
      </w:r>
      <w:r w:rsidRPr="00693823">
        <w:t>ging</w:t>
      </w:r>
      <w:r w:rsidR="00A73C27">
        <w:t xml:space="preserve"> services n</w:t>
      </w:r>
      <w:r w:rsidRPr="00693823">
        <w:t xml:space="preserve">etwork must continually enhance program design and delivery in key priority areas. </w:t>
      </w:r>
      <w:r w:rsidR="00693823">
        <w:t>To address this critical need, targeted surveys are developed</w:t>
      </w:r>
      <w:r w:rsidR="00F96877">
        <w:t xml:space="preserve"> and implemented in order to analyze, assess,</w:t>
      </w:r>
      <w:r w:rsidRPr="00693823">
        <w:t xml:space="preserve"> and </w:t>
      </w:r>
      <w:r w:rsidR="00F96877">
        <w:t>better understand</w:t>
      </w:r>
      <w:r w:rsidRPr="00693823">
        <w:t xml:space="preserve"> the ever-evolving needs of the network. </w:t>
      </w:r>
      <w:r w:rsidR="00F96877">
        <w:t>The purpose of these activities is</w:t>
      </w:r>
      <w:r w:rsidRPr="00693823">
        <w:t xml:space="preserve"> to improve management practices and methodologies, leadership enhancement, as well as </w:t>
      </w:r>
      <w:r w:rsidR="00F96877">
        <w:t xml:space="preserve">to </w:t>
      </w:r>
      <w:r w:rsidRPr="00693823">
        <w:t xml:space="preserve">broaden roles in the delivery of </w:t>
      </w:r>
      <w:r w:rsidR="00766E85">
        <w:t xml:space="preserve">home and </w:t>
      </w:r>
      <w:r w:rsidRPr="00693823">
        <w:t xml:space="preserve">community-based services </w:t>
      </w:r>
      <w:r w:rsidR="00F96877">
        <w:t>within</w:t>
      </w:r>
      <w:r w:rsidRPr="00693823">
        <w:t xml:space="preserve"> our nation’s system of health and long-term care. </w:t>
      </w:r>
    </w:p>
    <w:p w:rsidR="00F1615A" w:rsidRPr="00693823" w:rsidRDefault="00F1615A" w:rsidP="00F1615A">
      <w:pPr>
        <w:contextualSpacing/>
        <w:jc w:val="both"/>
      </w:pPr>
    </w:p>
    <w:p w:rsidR="00F1615A" w:rsidRPr="00693823" w:rsidRDefault="00F1615A" w:rsidP="00F1615A">
      <w:pPr>
        <w:contextualSpacing/>
        <w:jc w:val="both"/>
      </w:pPr>
      <w:r w:rsidRPr="00693823">
        <w:t xml:space="preserve">In July 2013, a web-based survey </w:t>
      </w:r>
      <w:r w:rsidR="00F96877">
        <w:t xml:space="preserve">was distributed </w:t>
      </w:r>
      <w:r w:rsidRPr="00693823">
        <w:t>to 613 AAAs, with a 63 percent response rate. The survey resulted in the development and distribution of a comprehensive report in 2014. That report highlights how AAAs are changing their services in response to changes in both demographics and the resources to which they have access. In February 2014, a survey targeting the 256 Title VI Native American programs in the United States launched, resulting in responses from just under 90</w:t>
      </w:r>
      <w:r w:rsidR="004551C6">
        <w:t xml:space="preserve"> percent</w:t>
      </w:r>
      <w:r w:rsidRPr="00693823">
        <w:t xml:space="preserve"> of Title VI administrators.  </w:t>
      </w:r>
      <w:r w:rsidR="00F96877">
        <w:t>The</w:t>
      </w:r>
      <w:r w:rsidRPr="00693823">
        <w:t xml:space="preserve"> </w:t>
      </w:r>
      <w:r w:rsidR="00F96877">
        <w:t>r</w:t>
      </w:r>
      <w:r w:rsidRPr="00693823">
        <w:t>esults</w:t>
      </w:r>
      <w:r w:rsidR="00F96877">
        <w:t xml:space="preserve"> from these surveys</w:t>
      </w:r>
      <w:r w:rsidRPr="00693823">
        <w:t xml:space="preserve"> provide</w:t>
      </w:r>
      <w:r w:rsidR="00F96877">
        <w:t>d</w:t>
      </w:r>
      <w:r w:rsidRPr="00693823">
        <w:t xml:space="preserve"> key findings </w:t>
      </w:r>
      <w:r w:rsidR="00F96877">
        <w:t>related</w:t>
      </w:r>
      <w:r w:rsidRPr="00693823">
        <w:t xml:space="preserve"> to innovative care delivery, service expansion and sustainability and training and technical assistance needs.  </w:t>
      </w:r>
      <w:r w:rsidR="00F96877">
        <w:t>FY 201</w:t>
      </w:r>
      <w:r w:rsidR="004036A7">
        <w:t>5</w:t>
      </w:r>
      <w:r w:rsidR="004551C6">
        <w:t xml:space="preserve"> activities built on these findings by gathering data on the </w:t>
      </w:r>
      <w:r w:rsidR="004036A7">
        <w:t>national aging service network</w:t>
      </w:r>
      <w:r w:rsidR="004551C6">
        <w:t>’s</w:t>
      </w:r>
      <w:r w:rsidRPr="00693823">
        <w:t xml:space="preserve"> information technology systems in an effort to identify challenges and opportunities </w:t>
      </w:r>
      <w:r w:rsidR="004551C6">
        <w:t>for</w:t>
      </w:r>
      <w:r w:rsidRPr="00693823">
        <w:t xml:space="preserve"> future</w:t>
      </w:r>
      <w:r w:rsidR="004551C6">
        <w:t xml:space="preserve"> development</w:t>
      </w:r>
      <w:r w:rsidRPr="00693823">
        <w:t xml:space="preserve">.  </w:t>
      </w:r>
    </w:p>
    <w:p w:rsidR="00F1615A" w:rsidRDefault="00F1615A" w:rsidP="00BD68EE">
      <w:pPr>
        <w:contextualSpacing/>
        <w:jc w:val="both"/>
        <w:rPr>
          <w:b/>
          <w:i/>
        </w:rPr>
      </w:pPr>
    </w:p>
    <w:p w:rsidR="00BD68EE" w:rsidRDefault="00BD68EE" w:rsidP="00BD68EE">
      <w:pPr>
        <w:contextualSpacing/>
        <w:jc w:val="both"/>
        <w:rPr>
          <w:b/>
          <w:i/>
        </w:rPr>
      </w:pPr>
      <w:r w:rsidRPr="00E577BF">
        <w:rPr>
          <w:b/>
          <w:i/>
        </w:rPr>
        <w:t>National Eldercare Locator</w:t>
      </w:r>
    </w:p>
    <w:p w:rsidR="00445498" w:rsidRPr="00445498" w:rsidRDefault="007D3CEC" w:rsidP="00707F46">
      <w:pPr>
        <w:contextualSpacing/>
        <w:jc w:val="both"/>
      </w:pPr>
      <w:r w:rsidRPr="007D3CEC">
        <w:t xml:space="preserve">The Eldercare Locator is one of our </w:t>
      </w:r>
      <w:r w:rsidR="004036A7">
        <w:t>n</w:t>
      </w:r>
      <w:r w:rsidRPr="007D3CEC">
        <w:t xml:space="preserve">ation’s most </w:t>
      </w:r>
      <w:r w:rsidR="00766E85">
        <w:t xml:space="preserve">important and </w:t>
      </w:r>
      <w:r w:rsidRPr="007D3CEC">
        <w:t xml:space="preserve">visible vehicles for connecting </w:t>
      </w:r>
      <w:r w:rsidR="00766E85">
        <w:t>people</w:t>
      </w:r>
      <w:r w:rsidRPr="007D3CEC">
        <w:t xml:space="preserve"> needing assistance with state and local agencies on aging that serve older adults and their caregivers. Since its inception in 1991, the Eldercare Locator call center has connected over three million callers to local resources. Through its call center (800.677.1116), which operates five days a week from 9:00 a.m. to 8:00 p.m. ET</w:t>
      </w:r>
      <w:r>
        <w:t xml:space="preserve">, and </w:t>
      </w:r>
      <w:hyperlink r:id="rId18" w:history="1">
        <w:r w:rsidR="002175EF" w:rsidRPr="002175EF">
          <w:rPr>
            <w:rStyle w:val="Hyperlink"/>
          </w:rPr>
          <w:t xml:space="preserve">Eldercare.gov </w:t>
        </w:r>
        <w:r w:rsidRPr="002175EF">
          <w:rPr>
            <w:rStyle w:val="Hyperlink"/>
          </w:rPr>
          <w:t>website</w:t>
        </w:r>
      </w:hyperlink>
      <w:r w:rsidRPr="007D3CEC">
        <w:t xml:space="preserve">, the Locator serves as a trusted gateway for older adults and caregivers searching for information and resources which can be crucial to their </w:t>
      </w:r>
      <w:r w:rsidR="00766E85">
        <w:t xml:space="preserve">immediate and long-term </w:t>
      </w:r>
      <w:r w:rsidRPr="007D3CEC">
        <w:t>health, well-being and independence. Older adults and caregivers contact the Locator to find local resources involving a broad range of services including transportation and in-home services and supports.</w:t>
      </w:r>
      <w:r w:rsidR="00BD68EE" w:rsidRPr="00380DE7">
        <w:t xml:space="preserve"> </w:t>
      </w:r>
      <w:r w:rsidR="00E577BF" w:rsidRPr="00380DE7">
        <w:t xml:space="preserve">The Eldercare Locator served over </w:t>
      </w:r>
      <w:r w:rsidR="00445498" w:rsidRPr="00380DE7">
        <w:t>2</w:t>
      </w:r>
      <w:r>
        <w:t xml:space="preserve">77,621 </w:t>
      </w:r>
      <w:r w:rsidR="00445498" w:rsidRPr="00380DE7">
        <w:t xml:space="preserve">callers and </w:t>
      </w:r>
      <w:r>
        <w:t>498,791</w:t>
      </w:r>
      <w:r w:rsidR="00445498" w:rsidRPr="00380DE7">
        <w:t xml:space="preserve"> website users in FY201</w:t>
      </w:r>
      <w:r>
        <w:t>5</w:t>
      </w:r>
      <w:r w:rsidR="00445498" w:rsidRPr="00380DE7">
        <w:t>.</w:t>
      </w:r>
    </w:p>
    <w:p w:rsidR="00BD68EE" w:rsidRPr="007D3CEC" w:rsidRDefault="00BD68EE" w:rsidP="00BD68EE">
      <w:pPr>
        <w:spacing w:after="200"/>
        <w:contextualSpacing/>
      </w:pPr>
    </w:p>
    <w:p w:rsidR="00BD68EE" w:rsidRPr="00693823" w:rsidRDefault="00BD68EE" w:rsidP="00BD68EE">
      <w:pPr>
        <w:contextualSpacing/>
        <w:jc w:val="both"/>
        <w:rPr>
          <w:b/>
          <w:i/>
        </w:rPr>
      </w:pPr>
      <w:r w:rsidRPr="00693823">
        <w:rPr>
          <w:b/>
          <w:i/>
        </w:rPr>
        <w:t>National Alzheimer’s Call Center</w:t>
      </w:r>
    </w:p>
    <w:p w:rsidR="006F5756" w:rsidRPr="00693823" w:rsidRDefault="00BD68EE" w:rsidP="006F5756">
      <w:pPr>
        <w:contextualSpacing/>
        <w:jc w:val="both"/>
      </w:pPr>
      <w:r w:rsidRPr="00693823">
        <w:t xml:space="preserve">The National Alzheimer’s Call Center is a national information and counseling service for persons with Alzheimer’s disease, their family members, and informal caregivers.  </w:t>
      </w:r>
      <w:r w:rsidR="002D0204" w:rsidRPr="00693823">
        <w:t>I</w:t>
      </w:r>
      <w:r w:rsidR="006F5756" w:rsidRPr="00693823">
        <w:t>n the 12</w:t>
      </w:r>
      <w:r w:rsidR="006F5756" w:rsidRPr="00693823">
        <w:noBreakHyphen/>
        <w:t>month period ending January 31, 201</w:t>
      </w:r>
      <w:r w:rsidR="00CA5E5E">
        <w:t>6</w:t>
      </w:r>
      <w:r w:rsidR="006F5756" w:rsidRPr="00693823">
        <w:t xml:space="preserve">, the National Alzheimer’s Call Center handled </w:t>
      </w:r>
      <w:r w:rsidR="00CA5E5E">
        <w:t>over</w:t>
      </w:r>
      <w:r w:rsidR="004370C9" w:rsidRPr="00693823">
        <w:t xml:space="preserve"> 3</w:t>
      </w:r>
      <w:r w:rsidR="00CA5E5E">
        <w:t>2</w:t>
      </w:r>
      <w:r w:rsidR="004370C9" w:rsidRPr="00693823">
        <w:t>0</w:t>
      </w:r>
      <w:r w:rsidR="006F5756" w:rsidRPr="00693823">
        <w:t xml:space="preserve">,000 calls through its national and local partners, and its on-line message board community recorded </w:t>
      </w:r>
      <w:r w:rsidR="00CA5E5E">
        <w:t>over 6</w:t>
      </w:r>
      <w:r w:rsidR="006F5756" w:rsidRPr="00693823">
        <w:t xml:space="preserve"> million page views and over 1</w:t>
      </w:r>
      <w:r w:rsidR="00CA5E5E">
        <w:t>9</w:t>
      </w:r>
      <w:r w:rsidR="004370C9" w:rsidRPr="00693823">
        <w:t>0</w:t>
      </w:r>
      <w:r w:rsidR="006F5756" w:rsidRPr="00693823">
        <w:t xml:space="preserve">,000 </w:t>
      </w:r>
      <w:r w:rsidR="00CA5E5E">
        <w:t>active participants</w:t>
      </w:r>
      <w:r w:rsidR="006F5756" w:rsidRPr="00693823">
        <w:t>.</w:t>
      </w:r>
    </w:p>
    <w:p w:rsidR="006F5756" w:rsidRPr="00693823" w:rsidRDefault="006F5756" w:rsidP="006F5756">
      <w:pPr>
        <w:contextualSpacing/>
        <w:jc w:val="both"/>
      </w:pPr>
    </w:p>
    <w:p w:rsidR="00BD68EE" w:rsidRPr="00693823" w:rsidRDefault="00BD68EE" w:rsidP="00BD68EE">
      <w:pPr>
        <w:contextualSpacing/>
        <w:jc w:val="both"/>
      </w:pPr>
      <w:r w:rsidRPr="00693823">
        <w:t xml:space="preserve">The National Alzheimer’s Call Center is available to people in all states, 24 hours a day, 7 days a week, 365 days a year to provide expert advice, care consultation, and information and referrals at the national and local levels regarding Alzheimer’s disease.  Trained professional customer service staff and </w:t>
      </w:r>
      <w:r w:rsidR="00024662" w:rsidRPr="00693823">
        <w:t>master’s</w:t>
      </w:r>
      <w:r w:rsidRPr="00693823">
        <w:t xml:space="preserve"> </w:t>
      </w:r>
      <w:r w:rsidR="00024662">
        <w:t xml:space="preserve">level </w:t>
      </w:r>
      <w:r w:rsidRPr="00693823">
        <w:t xml:space="preserve">social workers are available at all times.  The Call Center is </w:t>
      </w:r>
      <w:r w:rsidRPr="00693823">
        <w:lastRenderedPageBreak/>
        <w:t>accessible by telephone, website or e-mail at no cost to the caller. Services focus on consumers, not professionals. Information provided may include basic information on caregiving; handling legal issues; resources for long-distance caregiving; and tips for working with the medical community.  Local community-based organizations are directly involved to ensure local, on-the-ground capacity to respond to emergencies and on-going needs of Alzheimer’s patients, their families, and informal caregivers.  The Call Center has multilingual capacity and responds to inquiries in at least 140 languages through its own bilingual staff and with the use of a language interpretation service.</w:t>
      </w:r>
    </w:p>
    <w:p w:rsidR="006F5756" w:rsidRPr="003F1455" w:rsidRDefault="006F5756" w:rsidP="00BD68EE">
      <w:pPr>
        <w:contextualSpacing/>
        <w:jc w:val="both"/>
        <w:rPr>
          <w:highlight w:val="yellow"/>
        </w:rPr>
      </w:pPr>
    </w:p>
    <w:p w:rsidR="00927A75" w:rsidRPr="00BF5624" w:rsidRDefault="00927A75" w:rsidP="00927A7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contextualSpacing/>
        <w:jc w:val="both"/>
        <w:rPr>
          <w:b/>
          <w:i/>
        </w:rPr>
      </w:pPr>
      <w:r w:rsidRPr="00BF5624">
        <w:rPr>
          <w:b/>
          <w:i/>
        </w:rPr>
        <w:t>National Education and Resource Center on Women and Retirement Planning</w:t>
      </w:r>
    </w:p>
    <w:p w:rsidR="00BD68EE" w:rsidRPr="00BF5624" w:rsidRDefault="00927A75" w:rsidP="00927A7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contextualSpacing/>
        <w:jc w:val="both"/>
      </w:pPr>
      <w:r w:rsidRPr="00BF5624">
        <w:t>The National Education and Resource Center on Women and Retirement Planning, established in 1998, provides women with access to a one-stop gateway that integrates financial information and resources on retirement, health, and planning for long-term care. This project has made user-friendly financial education and retirement planning tools available to traditionally hard-to-reach women, including low-income women, women of color, women with limited English speaking proficiency, rural, and other underserved women. Information is offered through financial and retirement planning programs, workshops tailored to meet women’s special needs, and publications in hard copy and web-based formats.  Since its establishment, the Center has conducted more than 20,000 workshops on strategies to access financial and retirement planning information for women and disseminated financial and retirement planning information tailored to the specific needs of hard-to-reach women, in addition to materials designed to identify and prevent fraud and financial exploitation among older individuals.</w:t>
      </w:r>
    </w:p>
    <w:p w:rsidR="00927A75" w:rsidRPr="003F1455" w:rsidRDefault="00927A75" w:rsidP="00927A7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contextualSpacing/>
        <w:jc w:val="both"/>
        <w:rPr>
          <w:highlight w:val="yellow"/>
        </w:rPr>
      </w:pPr>
    </w:p>
    <w:p w:rsidR="00BD68EE" w:rsidRPr="00BF5624" w:rsidRDefault="00BD68EE" w:rsidP="00BD68EE">
      <w:pPr>
        <w:contextualSpacing/>
        <w:jc w:val="both"/>
        <w:rPr>
          <w:b/>
          <w:i/>
        </w:rPr>
      </w:pPr>
      <w:r w:rsidRPr="00BF5624">
        <w:rPr>
          <w:b/>
          <w:i/>
        </w:rPr>
        <w:t>National Minority Aging Organizations Technical Assistance Centers</w:t>
      </w:r>
    </w:p>
    <w:p w:rsidR="002D3B4A" w:rsidRPr="00BF5624" w:rsidRDefault="002D3B4A" w:rsidP="002D3B4A">
      <w:pPr>
        <w:contextualSpacing/>
        <w:jc w:val="both"/>
      </w:pPr>
      <w:r w:rsidRPr="00BF5624">
        <w:t>The National Minority Aging Organizations (NMAO) Technical Assistance Centers Program works to reduce or eliminate health disparities among racial and ethnic minority older individuals. These Centers design and disseminate line health promotion and disease prevention information that is culturally and linguistically appropriate for older individuals of African American, Hispanic, Asian</w:t>
      </w:r>
      <w:r w:rsidR="0048073A">
        <w:t>, Native Hawaiian</w:t>
      </w:r>
      <w:r w:rsidRPr="00BF5624">
        <w:t xml:space="preserve">  </w:t>
      </w:r>
      <w:r w:rsidR="0048073A">
        <w:t>or other</w:t>
      </w:r>
      <w:r w:rsidRPr="00BF5624">
        <w:t xml:space="preserve"> Pacific Islander descent, American Indian and Alaska Native elders</w:t>
      </w:r>
      <w:r w:rsidR="00BF5624">
        <w:t>, as w</w:t>
      </w:r>
      <w:r w:rsidR="004551C6">
        <w:t>e</w:t>
      </w:r>
      <w:r w:rsidR="00BF5624">
        <w:t>ll as for older lesbian, gay, bisexual, and transgender (LGBT) adults.</w:t>
      </w:r>
    </w:p>
    <w:p w:rsidR="002D3B4A" w:rsidRPr="00BF5624" w:rsidRDefault="002D3B4A" w:rsidP="002D3B4A">
      <w:pPr>
        <w:contextualSpacing/>
        <w:jc w:val="both"/>
      </w:pPr>
      <w:r w:rsidRPr="00BF5624">
        <w:t xml:space="preserve"> </w:t>
      </w:r>
    </w:p>
    <w:p w:rsidR="002D3B4A" w:rsidRDefault="00BF5624" w:rsidP="002D3B4A">
      <w:pPr>
        <w:contextualSpacing/>
        <w:jc w:val="both"/>
      </w:pPr>
      <w:r>
        <w:t xml:space="preserve">Each NMAO project pilots practical, community-based interventions for </w:t>
      </w:r>
      <w:r w:rsidR="002D3B4A" w:rsidRPr="00BF5624">
        <w:t xml:space="preserve">reaching </w:t>
      </w:r>
      <w:r w:rsidR="004551C6">
        <w:t>o</w:t>
      </w:r>
      <w:r w:rsidR="002D3B4A" w:rsidRPr="00BF5624">
        <w:t xml:space="preserve">lder </w:t>
      </w:r>
      <w:r>
        <w:t xml:space="preserve">individuals </w:t>
      </w:r>
      <w:r w:rsidR="002D3B4A" w:rsidRPr="00BF5624">
        <w:t xml:space="preserve">who experience barriers to accessing home and community-based services. Interventions focus on barriers due to language and low literacy, as well as those directly related to cultural diversity.  Strategies developed under this program incorporate the latest technology and facilitate the generation and dissemination of knowledge in forms that can assist racial and ethnic </w:t>
      </w:r>
      <w:r w:rsidR="002D3B4A" w:rsidRPr="00F540D0">
        <w:t>minority</w:t>
      </w:r>
      <w:r w:rsidR="002D3B4A" w:rsidRPr="00BF5624">
        <w:t xml:space="preserve"> older individuals to practice positive health behaviors and strengthen their capacity to maintain active, independent life styles.  Examples of products resulting from these grants include</w:t>
      </w:r>
      <w:r w:rsidR="00F825F0">
        <w:t>:</w:t>
      </w:r>
      <w:r>
        <w:t xml:space="preserve"> a chronic disease self-management curricula and </w:t>
      </w:r>
      <w:r w:rsidR="00F825F0">
        <w:t xml:space="preserve">a </w:t>
      </w:r>
      <w:r>
        <w:t xml:space="preserve">manual tailored for racial and ethnic </w:t>
      </w:r>
      <w:r w:rsidRPr="00F540D0">
        <w:t>minority older persons</w:t>
      </w:r>
      <w:r w:rsidR="00F825F0">
        <w:t>;</w:t>
      </w:r>
      <w:r w:rsidRPr="00F540D0">
        <w:t xml:space="preserve"> a referral dataset of chronic disease self-management workshops</w:t>
      </w:r>
      <w:r w:rsidR="00F825F0">
        <w:t>;</w:t>
      </w:r>
      <w:r w:rsidRPr="00F540D0">
        <w:t xml:space="preserve"> and a </w:t>
      </w:r>
      <w:r w:rsidR="002D3B4A" w:rsidRPr="00F540D0">
        <w:t>culturally</w:t>
      </w:r>
      <w:r w:rsidR="002D3B4A" w:rsidRPr="00BF5624">
        <w:t xml:space="preserve"> appropriate </w:t>
      </w:r>
      <w:r>
        <w:t>caregiver manual /toolkit for American Indian and Alaskan Native caregivers caring for elders with dementia.</w:t>
      </w:r>
    </w:p>
    <w:p w:rsidR="00FA2C70" w:rsidRDefault="00FA2C70" w:rsidP="002D3B4A">
      <w:pPr>
        <w:contextualSpacing/>
        <w:jc w:val="both"/>
      </w:pPr>
    </w:p>
    <w:p w:rsidR="00FA2C70" w:rsidRDefault="00FA2C70" w:rsidP="002D3B4A">
      <w:pPr>
        <w:contextualSpacing/>
        <w:jc w:val="both"/>
      </w:pPr>
    </w:p>
    <w:p w:rsidR="00FA2C70" w:rsidRDefault="00FA2C70" w:rsidP="002D3B4A">
      <w:pPr>
        <w:contextualSpacing/>
        <w:jc w:val="both"/>
      </w:pPr>
    </w:p>
    <w:p w:rsidR="00FA2C70" w:rsidRDefault="00FA2C70" w:rsidP="002D3B4A">
      <w:pPr>
        <w:contextualSpacing/>
        <w:jc w:val="both"/>
      </w:pPr>
    </w:p>
    <w:p w:rsidR="00E6640F" w:rsidRDefault="00E6640F" w:rsidP="002D3B4A">
      <w:pPr>
        <w:contextualSpacing/>
        <w:jc w:val="both"/>
      </w:pPr>
    </w:p>
    <w:p w:rsidR="00E6640F" w:rsidRDefault="00E6640F" w:rsidP="002D3B4A">
      <w:pPr>
        <w:contextualSpacing/>
        <w:jc w:val="both"/>
      </w:pPr>
    </w:p>
    <w:p w:rsidR="00E6640F" w:rsidRDefault="00E6640F" w:rsidP="00E6640F">
      <w:pPr>
        <w:contextualSpacing/>
        <w:jc w:val="both"/>
      </w:pPr>
    </w:p>
    <w:bookmarkEnd w:id="47"/>
    <w:bookmarkEnd w:id="48"/>
    <w:bookmarkEnd w:id="49"/>
    <w:bookmarkEnd w:id="50"/>
    <w:bookmarkEnd w:id="51"/>
    <w:bookmarkEnd w:id="52"/>
    <w:bookmarkEnd w:id="53"/>
    <w:bookmarkEnd w:id="54"/>
    <w:p w:rsidR="0075410E" w:rsidRDefault="0075410E" w:rsidP="00313379">
      <w:pPr>
        <w:spacing w:after="200" w:line="276" w:lineRule="auto"/>
        <w:contextualSpacing/>
        <w:jc w:val="center"/>
      </w:pPr>
    </w:p>
    <w:p w:rsidR="0075410E" w:rsidRDefault="0075410E" w:rsidP="00313379">
      <w:pPr>
        <w:spacing w:after="200" w:line="276" w:lineRule="auto"/>
        <w:contextualSpacing/>
        <w:jc w:val="center"/>
      </w:pPr>
    </w:p>
    <w:p w:rsidR="0075410E" w:rsidRDefault="0075410E" w:rsidP="00313379">
      <w:pPr>
        <w:spacing w:after="200" w:line="276" w:lineRule="auto"/>
        <w:contextualSpacing/>
        <w:jc w:val="center"/>
      </w:pPr>
    </w:p>
    <w:p w:rsidR="00E6640F" w:rsidRDefault="00E6640F" w:rsidP="00313379">
      <w:pPr>
        <w:spacing w:after="200" w:line="276" w:lineRule="auto"/>
        <w:contextualSpacing/>
        <w:jc w:val="center"/>
      </w:pPr>
    </w:p>
    <w:p w:rsidR="00D163A5" w:rsidRPr="002D29A6" w:rsidRDefault="00D163A5" w:rsidP="002D29A6">
      <w:pPr>
        <w:pStyle w:val="Heading1"/>
        <w:rPr>
          <w:bCs w:val="0"/>
          <w:sz w:val="72"/>
          <w:szCs w:val="72"/>
        </w:rPr>
      </w:pPr>
      <w:bookmarkStart w:id="55" w:name="_Toc436738898"/>
      <w:r w:rsidRPr="002D29A6">
        <w:rPr>
          <w:bCs w:val="0"/>
          <w:sz w:val="72"/>
          <w:szCs w:val="72"/>
        </w:rPr>
        <w:t>Appendix</w:t>
      </w:r>
      <w:bookmarkEnd w:id="55"/>
    </w:p>
    <w:p w:rsidR="00D163A5" w:rsidRDefault="00D163A5" w:rsidP="00D163A5">
      <w:pPr>
        <w:tabs>
          <w:tab w:val="center" w:pos="4680"/>
        </w:tabs>
        <w:jc w:val="center"/>
        <w:rPr>
          <w:b/>
          <w:bCs/>
        </w:rPr>
      </w:pPr>
    </w:p>
    <w:p w:rsidR="00D163A5" w:rsidRDefault="00D163A5" w:rsidP="00D163A5">
      <w:pPr>
        <w:tabs>
          <w:tab w:val="center" w:pos="4680"/>
        </w:tabs>
        <w:jc w:val="center"/>
        <w:rPr>
          <w:b/>
          <w:bCs/>
        </w:rPr>
      </w:pPr>
    </w:p>
    <w:p w:rsidR="00D163A5" w:rsidRDefault="00D163A5" w:rsidP="00D163A5">
      <w:pPr>
        <w:tabs>
          <w:tab w:val="center" w:pos="4680"/>
        </w:tabs>
        <w:jc w:val="center"/>
        <w:rPr>
          <w:b/>
          <w:bCs/>
        </w:rPr>
      </w:pPr>
    </w:p>
    <w:p w:rsidR="00D163A5" w:rsidRDefault="00D163A5" w:rsidP="00D163A5">
      <w:pPr>
        <w:tabs>
          <w:tab w:val="center" w:pos="4680"/>
        </w:tabs>
        <w:jc w:val="center"/>
        <w:rPr>
          <w:b/>
          <w:bCs/>
          <w:sz w:val="42"/>
          <w:szCs w:val="42"/>
        </w:rPr>
      </w:pPr>
    </w:p>
    <w:p w:rsidR="00D163A5" w:rsidRDefault="00D163A5" w:rsidP="00D163A5">
      <w:pPr>
        <w:jc w:val="center"/>
        <w:rPr>
          <w:b/>
          <w:sz w:val="72"/>
          <w:szCs w:val="72"/>
        </w:rPr>
      </w:pPr>
      <w:r w:rsidRPr="00C923C7">
        <w:rPr>
          <w:b/>
          <w:sz w:val="72"/>
          <w:szCs w:val="72"/>
        </w:rPr>
        <w:t>Formula Grant Funding</w:t>
      </w:r>
    </w:p>
    <w:p w:rsidR="00D163A5" w:rsidRDefault="00D163A5" w:rsidP="00D163A5">
      <w:pPr>
        <w:jc w:val="center"/>
        <w:rPr>
          <w:b/>
          <w:sz w:val="72"/>
          <w:szCs w:val="72"/>
        </w:rPr>
      </w:pPr>
    </w:p>
    <w:p w:rsidR="00D163A5" w:rsidRDefault="00D163A5" w:rsidP="00D163A5">
      <w:pPr>
        <w:jc w:val="center"/>
        <w:rPr>
          <w:b/>
          <w:sz w:val="72"/>
          <w:szCs w:val="72"/>
        </w:rPr>
      </w:pPr>
      <w:r>
        <w:rPr>
          <w:b/>
          <w:sz w:val="72"/>
          <w:szCs w:val="72"/>
        </w:rPr>
        <w:t xml:space="preserve">Allocation by </w:t>
      </w:r>
    </w:p>
    <w:p w:rsidR="00D163A5" w:rsidRDefault="00D163A5" w:rsidP="00D163A5">
      <w:pPr>
        <w:jc w:val="center"/>
        <w:rPr>
          <w:b/>
          <w:sz w:val="72"/>
          <w:szCs w:val="72"/>
        </w:rPr>
      </w:pPr>
    </w:p>
    <w:p w:rsidR="00D163A5" w:rsidRDefault="00D163A5" w:rsidP="00D163A5">
      <w:pPr>
        <w:jc w:val="center"/>
        <w:rPr>
          <w:b/>
          <w:sz w:val="72"/>
          <w:szCs w:val="72"/>
        </w:rPr>
      </w:pPr>
      <w:r>
        <w:rPr>
          <w:b/>
          <w:sz w:val="72"/>
          <w:szCs w:val="72"/>
        </w:rPr>
        <w:t xml:space="preserve">State, Territory and </w:t>
      </w:r>
    </w:p>
    <w:p w:rsidR="00D163A5" w:rsidRPr="000A1849" w:rsidRDefault="00D163A5" w:rsidP="00D163A5">
      <w:pPr>
        <w:jc w:val="center"/>
        <w:rPr>
          <w:b/>
          <w:sz w:val="72"/>
          <w:szCs w:val="72"/>
        </w:rPr>
      </w:pPr>
      <w:r>
        <w:rPr>
          <w:b/>
          <w:sz w:val="72"/>
          <w:szCs w:val="72"/>
        </w:rPr>
        <w:t>Tribal Organization</w:t>
      </w:r>
    </w:p>
    <w:p w:rsidR="00D163A5" w:rsidRDefault="00D163A5" w:rsidP="00D163A5"/>
    <w:p w:rsidR="00D163A5" w:rsidRDefault="00D163A5" w:rsidP="00D163A5"/>
    <w:p w:rsidR="00D163A5" w:rsidRDefault="00D163A5" w:rsidP="00D163A5"/>
    <w:p w:rsidR="00D163A5" w:rsidRDefault="00D163A5" w:rsidP="00D163A5">
      <w:pPr>
        <w:jc w:val="center"/>
      </w:pPr>
    </w:p>
    <w:p w:rsidR="00D163A5" w:rsidRDefault="00D163A5" w:rsidP="00D163A5">
      <w:pPr>
        <w:jc w:val="center"/>
        <w:rPr>
          <w:b/>
          <w:bCs/>
          <w:sz w:val="42"/>
          <w:szCs w:val="42"/>
        </w:rPr>
      </w:pPr>
      <w:r>
        <w:rPr>
          <w:b/>
          <w:bCs/>
          <w:sz w:val="42"/>
          <w:szCs w:val="42"/>
        </w:rPr>
        <w:t xml:space="preserve">U.S. Administration on Aging </w:t>
      </w:r>
    </w:p>
    <w:p w:rsidR="00D163A5" w:rsidRDefault="00D163A5" w:rsidP="00D163A5">
      <w:pPr>
        <w:jc w:val="center"/>
        <w:rPr>
          <w:b/>
          <w:bCs/>
          <w:sz w:val="34"/>
          <w:szCs w:val="34"/>
        </w:rPr>
      </w:pPr>
      <w:r>
        <w:rPr>
          <w:b/>
          <w:bCs/>
          <w:sz w:val="42"/>
          <w:szCs w:val="42"/>
        </w:rPr>
        <w:t>Department of Health and Human Services</w:t>
      </w:r>
    </w:p>
    <w:p w:rsidR="00D163A5" w:rsidRDefault="00D163A5" w:rsidP="00D163A5">
      <w:pPr>
        <w:jc w:val="center"/>
        <w:rPr>
          <w:b/>
          <w:bCs/>
          <w:sz w:val="34"/>
          <w:szCs w:val="34"/>
        </w:rPr>
      </w:pPr>
    </w:p>
    <w:p w:rsidR="00D163A5" w:rsidRDefault="00D163A5" w:rsidP="00D163A5">
      <w:pPr>
        <w:jc w:val="center"/>
        <w:rPr>
          <w:b/>
          <w:bCs/>
          <w:sz w:val="34"/>
          <w:szCs w:val="34"/>
        </w:rPr>
      </w:pPr>
    </w:p>
    <w:p w:rsidR="00D163A5" w:rsidRDefault="00D163A5" w:rsidP="00D163A5">
      <w:pPr>
        <w:jc w:val="center"/>
        <w:rPr>
          <w:b/>
          <w:bCs/>
          <w:sz w:val="34"/>
          <w:szCs w:val="34"/>
        </w:rPr>
      </w:pPr>
    </w:p>
    <w:p w:rsidR="00D163A5" w:rsidRDefault="00D163A5" w:rsidP="00D163A5">
      <w:pPr>
        <w:jc w:val="center"/>
        <w:rPr>
          <w:b/>
          <w:bCs/>
          <w:sz w:val="34"/>
          <w:szCs w:val="34"/>
        </w:rPr>
      </w:pPr>
    </w:p>
    <w:p w:rsidR="00D163A5" w:rsidRPr="0097038F" w:rsidRDefault="00D163A5" w:rsidP="00D163A5">
      <w:pPr>
        <w:jc w:val="center"/>
        <w:rPr>
          <w:highlight w:val="yellow"/>
        </w:rPr>
      </w:pPr>
    </w:p>
    <w:p w:rsidR="00D163A5" w:rsidRPr="000A3EBC" w:rsidRDefault="00D163A5" w:rsidP="00D163A5"/>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Pr="0001315B" w:rsidRDefault="0001315B" w:rsidP="0001315B">
      <w:pPr>
        <w:jc w:val="center"/>
        <w:rPr>
          <w:b/>
        </w:rPr>
      </w:pPr>
      <w:r w:rsidRPr="0001315B">
        <w:rPr>
          <w:b/>
        </w:rPr>
        <w:t>THIS PAGE INTENTIONALLY LEFT BLANK</w:t>
      </w:r>
    </w:p>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01315B" w:rsidRDefault="0001315B" w:rsidP="0001315B"/>
    <w:p w:rsidR="00A162C8" w:rsidRDefault="006C0617" w:rsidP="000E1ACE">
      <w:pPr>
        <w:spacing w:after="200" w:line="276" w:lineRule="auto"/>
        <w:contextualSpacing/>
        <w:rPr>
          <w:b/>
          <w:sz w:val="18"/>
          <w:szCs w:val="18"/>
        </w:rPr>
      </w:pPr>
      <w:r>
        <w:rPr>
          <w:b/>
          <w:sz w:val="18"/>
          <w:szCs w:val="18"/>
        </w:rPr>
        <w:br/>
      </w: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A91DAA" w:rsidRDefault="00A91DAA">
      <w:pPr>
        <w:rPr>
          <w:b/>
          <w:sz w:val="18"/>
          <w:szCs w:val="18"/>
        </w:rPr>
      </w:pPr>
      <w:r>
        <w:rPr>
          <w:b/>
          <w:sz w:val="18"/>
          <w:szCs w:val="18"/>
        </w:rPr>
        <w:br w:type="page"/>
      </w:r>
    </w:p>
    <w:tbl>
      <w:tblPr>
        <w:tblpPr w:leftFromText="180" w:rightFromText="180" w:vertAnchor="text" w:horzAnchor="margin" w:tblpXSpec="center" w:tblpY="-176"/>
        <w:tblW w:w="10820" w:type="dxa"/>
        <w:tblLook w:val="04A0" w:firstRow="1" w:lastRow="0" w:firstColumn="1" w:lastColumn="0" w:noHBand="0" w:noVBand="1"/>
      </w:tblPr>
      <w:tblGrid>
        <w:gridCol w:w="1905"/>
        <w:gridCol w:w="1580"/>
        <w:gridCol w:w="1467"/>
        <w:gridCol w:w="1451"/>
        <w:gridCol w:w="1429"/>
        <w:gridCol w:w="1451"/>
        <w:gridCol w:w="1537"/>
      </w:tblGrid>
      <w:tr w:rsidR="00A91DAA" w:rsidRPr="006C0617" w:rsidTr="00A91DAA">
        <w:trPr>
          <w:trHeight w:hRule="exact" w:val="460"/>
        </w:trPr>
        <w:tc>
          <w:tcPr>
            <w:tcW w:w="19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State</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Supportive Services</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Congregate Meals</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Home         Meals</w:t>
            </w:r>
          </w:p>
        </w:tc>
        <w:tc>
          <w:tcPr>
            <w:tcW w:w="1429"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Preventive Services</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NFCSP</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Total Title III</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bookmarkStart w:id="56" w:name="RANGE!A2:A57"/>
            <w:r w:rsidRPr="006C0617">
              <w:rPr>
                <w:rFonts w:ascii="Arial" w:hAnsi="Arial" w:cs="Arial"/>
                <w:color w:val="000000"/>
                <w:sz w:val="19"/>
                <w:szCs w:val="19"/>
                <w:lang w:eastAsia="zh-TW"/>
              </w:rPr>
              <w:t>Alabama</w:t>
            </w:r>
            <w:bookmarkEnd w:id="56"/>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bookmarkStart w:id="57" w:name="RANGE!B2:B57"/>
            <w:r w:rsidRPr="006C0617">
              <w:rPr>
                <w:rFonts w:ascii="Arial" w:hAnsi="Arial" w:cs="Arial"/>
                <w:color w:val="000000"/>
                <w:sz w:val="19"/>
                <w:szCs w:val="19"/>
                <w:lang w:eastAsia="zh-TW"/>
              </w:rPr>
              <w:t xml:space="preserve">$5,347,831 </w:t>
            </w:r>
            <w:bookmarkEnd w:id="57"/>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$6,491,586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bookmarkStart w:id="58" w:name="RANGE!D2:D57"/>
            <w:r w:rsidRPr="006C0617">
              <w:rPr>
                <w:rFonts w:ascii="Arial" w:hAnsi="Arial" w:cs="Arial"/>
                <w:color w:val="000000"/>
                <w:sz w:val="19"/>
                <w:szCs w:val="19"/>
                <w:lang w:eastAsia="zh-TW"/>
              </w:rPr>
              <w:t xml:space="preserve">$3,314,409 </w:t>
            </w:r>
            <w:bookmarkEnd w:id="58"/>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$312,641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$2,210,499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$17,676,966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Alaska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Arizona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$6,505,241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$8,987,114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$4,588,551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$380,303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$3,171,015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$23,632,224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Arkansas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$3,464,889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$4,163,564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$2,057,220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$198,548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$1,406,669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$11,290,890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California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$34,222,266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$43,618,817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$22,270,459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$2,000,665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$14,793,851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$116,906,058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Colorado</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$4,111,937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$6,099,151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$3,114,043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$240,388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$1,914,700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$15,480,219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Connecticut</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$4,358,914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$5,241,452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$2,487,455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$245,082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$1,717,627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$14,050,530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Delaware</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District of Columbia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Florida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$25,001,315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$31,088,385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$15,872,796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$1,461,605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$11,694,400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$85,118,501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Georgia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$7,827,659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$11,081,426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$5,657,844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$457,613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$3,522,925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$28,547,467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Hawaii</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Idaho</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Illinois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$14,375,090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$17,286,541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$8,085,366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$789,335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$5,457,691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$45,994,023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Indiana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$6,855,951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$8,321,546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$4,248,732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$400,806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$2,844,470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$22,671,505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Iowa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$4,216,934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$5,081,501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$2,189,131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$217,942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$1,555,744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$13,261,252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Kansas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$3,397,503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$4,089,903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$1,863,982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$179,886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$1,284,858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$10,816,132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Kentucky</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$4,692,373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$5,782,727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$2,952,487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$274,322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$1,933,943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$15,635,852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Louisiana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$4,746,436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$5,645,998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$2,877,419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$277,482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$1,873,003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$15,420,338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Maine</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$1,086,911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$98,843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$5,815,694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Maryland</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$5,797,028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$7,289,263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$3,721,679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$338,901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$2,421,098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$19,567,969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Massachusetts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$8,124,432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$9,780,267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$4,545,091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$436,787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$3,095,082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$25,981,659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Michigan</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$11,139,631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$13,533,437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$6,909,767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$651,235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$4,622,288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$36,856,358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Minnesota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$5,442,947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$6,892,698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$3,519,205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$318,201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$2,381,981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$18,555,032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Mississippi</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$3,238,959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$3,891,114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$1,922,056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$184,160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$1,278,829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$10,515,118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Missouri</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$7,045,015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$8,467,047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$4,151,744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$397,174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$2,847,841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$22,908,821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Montana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Nebraska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$2,271,270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$2,738,802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$1,216,914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$117,205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$845,425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$7,189,616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Nevada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$2,436,002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$3,469,542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$1,771,444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$142,412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$1,117,962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$8,937,362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Hampshire</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Jersey</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$10,157,127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$12,190,488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$5,863,371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$582,688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$4,034,488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$32,828,162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Mexico</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$2,044,879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$2,736,402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$1,397,125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$119,546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$916,363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$7,214,315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York</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$24,032,989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$28,963,855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$12,985,216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$1,291,787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$8,915,220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$76,189,067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 Carolina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$9,272,301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$12,708,685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$6,488,673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$542,069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$4,251,733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$33,263,461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 Dakota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Ohio</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$13,674,313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$16,393,785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$8,089,852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$784,378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$5,508,674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$44,451,002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Oklahoma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$4,234,163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$5,080,736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$2,510,093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$241,568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$1,700,964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$13,767,524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Oregon</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$4,091,731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$5,570,464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$2,844,111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$239,207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$1,837,888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$14,583,401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Pennsylvania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$17,695,575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$21,279,716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$9,481,622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$955,797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$6,690,013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$56,102,723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Rhode Island</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South Carolina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$4,742,126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$6,580,629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$3,359,871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$277,230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$2,166,066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$17,125,922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South Dakota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Tennessee</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$6,690,499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$8,612,557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$4,397,313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$391,134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$2,881,977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$22,973,480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Texas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$20,116,444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$27,374,192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$13,976,441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$1,176,030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$8,944,706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$71,587,813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Utah</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$1,847,519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$2,598,736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$1,326,836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$108,008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$865,484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$6,746,583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Vermont</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Virginia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$7,783,846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$10,098,485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$5,155,983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$455,052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$3,338,050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$26,831,416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Washington</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$6,383,531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$8,792,376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$4,489,123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$373,189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$2,846,871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$22,885,090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West Virginia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$2,744,934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$3,305,947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$1,481,111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$143,702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$987,307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$8,663,001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Wisconsin</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$6,324,484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$7,716,339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$3,939,731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$367,330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$2,680,209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$21,028,093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Wyoming</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$1,728,330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$2,177,988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$1,075,581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$98,653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$723,622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$5,804,174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American Samoa</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$467,446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$594,843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$136,498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$12,332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$90,453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$1,301,572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Guam</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$864,165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$1,088,994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$537,791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$49,326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$361,811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$2,902,087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Northern Marianas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$216,042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$272,248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$134,448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$12,332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$90,453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$725,523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Puerto Rico</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$4,329,830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$5,193,402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$2,651,595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$253,127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$1,854,832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$14,282,786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Virgin Islands</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$864,165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$1,088,994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$537,791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$49,326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$361,811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$2,902,087 </w:t>
            </w:r>
          </w:p>
        </w:tc>
      </w:tr>
      <w:tr w:rsidR="00A91DAA" w:rsidRPr="006C0617" w:rsidTr="00A91DAA">
        <w:trPr>
          <w:trHeight w:val="237"/>
        </w:trPr>
        <w:tc>
          <w:tcPr>
            <w:tcW w:w="190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b/>
                <w:bCs/>
                <w:color w:val="000000"/>
                <w:sz w:val="19"/>
                <w:szCs w:val="19"/>
                <w:lang w:eastAsia="zh-TW"/>
              </w:rPr>
            </w:pPr>
            <w:r w:rsidRPr="006C0617">
              <w:rPr>
                <w:rFonts w:ascii="Arial" w:hAnsi="Arial" w:cs="Arial"/>
                <w:b/>
                <w:bCs/>
                <w:color w:val="000000"/>
                <w:sz w:val="19"/>
                <w:szCs w:val="19"/>
                <w:lang w:eastAsia="zh-TW"/>
              </w:rPr>
              <w:t>TOTAL</w:t>
            </w:r>
          </w:p>
        </w:tc>
        <w:tc>
          <w:tcPr>
            <w:tcW w:w="158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$345,666,022 </w:t>
            </w:r>
          </w:p>
        </w:tc>
        <w:tc>
          <w:tcPr>
            <w:tcW w:w="146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$435,597,598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$215,116,272 </w:t>
            </w:r>
          </w:p>
        </w:tc>
        <w:tc>
          <w:tcPr>
            <w:tcW w:w="1429"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$19,730,530 </w:t>
            </w:r>
          </w:p>
        </w:tc>
        <w:tc>
          <w:tcPr>
            <w:tcW w:w="1451"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$144,724,360 </w:t>
            </w:r>
          </w:p>
        </w:tc>
        <w:tc>
          <w:tcPr>
            <w:tcW w:w="1537"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$1,160,834,782 </w:t>
            </w:r>
          </w:p>
        </w:tc>
      </w:tr>
    </w:tbl>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tbl>
      <w:tblPr>
        <w:tblpPr w:leftFromText="180" w:rightFromText="180" w:vertAnchor="text" w:horzAnchor="margin" w:tblpXSpec="center" w:tblpY="-84"/>
        <w:tblW w:w="5480" w:type="dxa"/>
        <w:tblLook w:val="04A0" w:firstRow="1" w:lastRow="0" w:firstColumn="1" w:lastColumn="0" w:noHBand="0" w:noVBand="1"/>
      </w:tblPr>
      <w:tblGrid>
        <w:gridCol w:w="1515"/>
        <w:gridCol w:w="3965"/>
      </w:tblGrid>
      <w:tr w:rsidR="00A91DAA" w:rsidRPr="006C0617" w:rsidTr="00A91DAA">
        <w:trPr>
          <w:trHeight w:hRule="exact" w:val="230"/>
        </w:trPr>
        <w:tc>
          <w:tcPr>
            <w:tcW w:w="1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State/Territory</w:t>
            </w:r>
          </w:p>
        </w:tc>
        <w:tc>
          <w:tcPr>
            <w:tcW w:w="3965"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Nutrition Services Incentive Program</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Alabama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bookmarkStart w:id="59" w:name="RANGE!B2:B58"/>
            <w:r w:rsidRPr="006C0617">
              <w:rPr>
                <w:rFonts w:ascii="Arial" w:hAnsi="Arial" w:cs="Arial"/>
                <w:color w:val="000000"/>
                <w:sz w:val="19"/>
                <w:szCs w:val="19"/>
                <w:lang w:eastAsia="zh-TW"/>
              </w:rPr>
              <w:t xml:space="preserve">$3,281,217 </w:t>
            </w:r>
            <w:bookmarkEnd w:id="59"/>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Alaska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$467,080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Arizona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$1,831,908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Arkansas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$2,619,224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California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$12,978,158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Colorado</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$1,387,880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Connecticut</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$1,502,950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Delaware</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$493,592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District of Columbia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$656,726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Florida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$6,367,358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Georgia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$2,644,455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Hawaii</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$447,298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Idaho</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$697,880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Illinois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$6,052,486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Indiana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$1,576,234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Iowa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$1,842,899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Kansas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$2,017,649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Kentucky</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$1,722,895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Louisiana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$3,493,777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Maine</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$599,938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Maryland</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$1,588,274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Massachusetts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$4,858,202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Michigan</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$7,472,137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Minnesota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$1,907,343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Mississippi</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$1,630,644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Missouri</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$4,035,332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Montana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$870,814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Nebraska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$1,140,833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Nevada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$1,167,919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Hampshire</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$1,287,173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Jersey</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$3,798,220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Mexico</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$2,285,993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York</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$16,839,154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 Carolina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$3,325,731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 Dakota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$826,510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Ohio</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$5,752,230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Oklahoma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$2,103,579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Oregon</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$1,941,998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Pennsylvania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$6,198,120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Rhode Island</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$428,005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South Carolina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$1,531,920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South Dakota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$900,010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Tennessee</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$1,559,730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Texas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$11,404,726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Utah</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$1,255,197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Vermont</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$837,591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Virginia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$2,047,999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Washington</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$2,177,605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West Virginia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$1,661,411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Wisconsin</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$2,766,177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Wyoming</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$871,647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American Samoa</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$20,717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Guam</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$357,577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Northern Mariana Islands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$58,247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Puerto Rico</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$3,042,016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Virgin Islands</w:t>
            </w:r>
          </w:p>
        </w:tc>
        <w:tc>
          <w:tcPr>
            <w:tcW w:w="3965"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$188,789 </w:t>
            </w: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b/>
                <w:bCs/>
                <w:color w:val="000000"/>
                <w:sz w:val="19"/>
                <w:szCs w:val="19"/>
                <w:lang w:eastAsia="zh-TW"/>
              </w:rPr>
            </w:pPr>
            <w:r w:rsidRPr="006C0617">
              <w:rPr>
                <w:rFonts w:ascii="Arial" w:hAnsi="Arial" w:cs="Arial"/>
                <w:b/>
                <w:bCs/>
                <w:color w:val="000000"/>
                <w:sz w:val="19"/>
                <w:szCs w:val="19"/>
                <w:lang w:eastAsia="zh-TW"/>
              </w:rPr>
              <w:t>TOTAL</w:t>
            </w:r>
          </w:p>
        </w:tc>
        <w:tc>
          <w:tcPr>
            <w:tcW w:w="3965" w:type="dxa"/>
            <w:tcBorders>
              <w:top w:val="nil"/>
              <w:left w:val="nil"/>
              <w:bottom w:val="nil"/>
              <w:right w:val="nil"/>
            </w:tcBorders>
            <w:shd w:val="clear" w:color="auto" w:fill="auto"/>
            <w:noWrap/>
            <w:vAlign w:val="bottom"/>
            <w:hideMark/>
          </w:tcPr>
          <w:p w:rsidR="00A91DAA"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$152,821,174</w:t>
            </w:r>
          </w:p>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 </w:t>
            </w:r>
          </w:p>
        </w:tc>
      </w:tr>
    </w:tbl>
    <w:p w:rsidR="00A91DAA" w:rsidRDefault="00A91DAA">
      <w:r>
        <w:br w:type="page"/>
      </w:r>
    </w:p>
    <w:tbl>
      <w:tblPr>
        <w:tblpPr w:leftFromText="180" w:rightFromText="180" w:vertAnchor="text" w:horzAnchor="margin" w:tblpXSpec="center" w:tblpY="-84"/>
        <w:tblW w:w="5480" w:type="dxa"/>
        <w:tblLook w:val="04A0" w:firstRow="1" w:lastRow="0" w:firstColumn="1" w:lastColumn="0" w:noHBand="0" w:noVBand="1"/>
      </w:tblPr>
      <w:tblGrid>
        <w:gridCol w:w="1515"/>
        <w:gridCol w:w="3965"/>
      </w:tblGrid>
      <w:tr w:rsidR="00A91DAA" w:rsidRPr="006C0617" w:rsidTr="00A91DAA">
        <w:trPr>
          <w:trHeight w:hRule="exact" w:val="230"/>
        </w:trPr>
        <w:tc>
          <w:tcPr>
            <w:tcW w:w="1515" w:type="dxa"/>
            <w:tcBorders>
              <w:top w:val="nil"/>
              <w:left w:val="nil"/>
              <w:bottom w:val="nil"/>
              <w:right w:val="nil"/>
            </w:tcBorders>
            <w:shd w:val="clear" w:color="auto" w:fill="auto"/>
            <w:noWrap/>
            <w:vAlign w:val="bottom"/>
          </w:tcPr>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Pr="006C0617" w:rsidRDefault="00A91DAA" w:rsidP="00A91DAA">
            <w:pPr>
              <w:rPr>
                <w:rFonts w:ascii="Arial" w:hAnsi="Arial" w:cs="Arial"/>
                <w:b/>
                <w:bCs/>
                <w:color w:val="000000"/>
                <w:sz w:val="19"/>
                <w:szCs w:val="19"/>
                <w:lang w:eastAsia="zh-TW"/>
              </w:rPr>
            </w:pPr>
          </w:p>
        </w:tc>
        <w:tc>
          <w:tcPr>
            <w:tcW w:w="3965" w:type="dxa"/>
            <w:tcBorders>
              <w:top w:val="nil"/>
              <w:left w:val="nil"/>
              <w:bottom w:val="nil"/>
              <w:right w:val="nil"/>
            </w:tcBorders>
            <w:shd w:val="clear" w:color="auto" w:fill="auto"/>
            <w:noWrap/>
            <w:vAlign w:val="bottom"/>
          </w:tcPr>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Default="00A91DAA" w:rsidP="00A91DAA">
            <w:pPr>
              <w:jc w:val="right"/>
              <w:rPr>
                <w:rFonts w:ascii="Arial" w:hAnsi="Arial" w:cs="Arial"/>
                <w:b/>
                <w:bCs/>
                <w:color w:val="000000"/>
                <w:sz w:val="19"/>
                <w:szCs w:val="19"/>
                <w:lang w:eastAsia="zh-TW"/>
              </w:rPr>
            </w:pPr>
          </w:p>
          <w:p w:rsidR="00A91DAA" w:rsidRPr="006C0617" w:rsidRDefault="00A91DAA" w:rsidP="00A91DAA">
            <w:pPr>
              <w:jc w:val="right"/>
              <w:rPr>
                <w:rFonts w:ascii="Arial" w:hAnsi="Arial" w:cs="Arial"/>
                <w:b/>
                <w:bCs/>
                <w:color w:val="000000"/>
                <w:sz w:val="19"/>
                <w:szCs w:val="19"/>
                <w:lang w:eastAsia="zh-TW"/>
              </w:rPr>
            </w:pPr>
          </w:p>
        </w:tc>
      </w:tr>
      <w:tr w:rsidR="00A91DAA" w:rsidRPr="006C0617" w:rsidTr="00A91DAA">
        <w:trPr>
          <w:trHeight w:hRule="exact" w:val="230"/>
        </w:trPr>
        <w:tc>
          <w:tcPr>
            <w:tcW w:w="1515" w:type="dxa"/>
            <w:tcBorders>
              <w:top w:val="nil"/>
              <w:left w:val="nil"/>
              <w:bottom w:val="nil"/>
              <w:right w:val="nil"/>
            </w:tcBorders>
            <w:shd w:val="clear" w:color="auto" w:fill="auto"/>
            <w:noWrap/>
            <w:vAlign w:val="bottom"/>
          </w:tcPr>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p w:rsidR="00A91DAA" w:rsidRDefault="00A91DAA" w:rsidP="00A91DAA">
            <w:pPr>
              <w:rPr>
                <w:rFonts w:ascii="Arial" w:hAnsi="Arial" w:cs="Arial"/>
                <w:b/>
                <w:bCs/>
                <w:color w:val="000000"/>
                <w:sz w:val="19"/>
                <w:szCs w:val="19"/>
                <w:lang w:eastAsia="zh-TW"/>
              </w:rPr>
            </w:pPr>
          </w:p>
        </w:tc>
        <w:tc>
          <w:tcPr>
            <w:tcW w:w="3965" w:type="dxa"/>
            <w:tcBorders>
              <w:top w:val="nil"/>
              <w:left w:val="nil"/>
              <w:bottom w:val="nil"/>
              <w:right w:val="nil"/>
            </w:tcBorders>
            <w:shd w:val="clear" w:color="auto" w:fill="auto"/>
            <w:noWrap/>
            <w:vAlign w:val="bottom"/>
          </w:tcPr>
          <w:p w:rsidR="00A91DAA" w:rsidRPr="006C0617" w:rsidRDefault="00A91DAA" w:rsidP="00A91DAA">
            <w:pPr>
              <w:jc w:val="right"/>
              <w:rPr>
                <w:rFonts w:ascii="Arial" w:hAnsi="Arial" w:cs="Arial"/>
                <w:b/>
                <w:bCs/>
                <w:color w:val="000000"/>
                <w:sz w:val="19"/>
                <w:szCs w:val="19"/>
                <w:lang w:eastAsia="zh-TW"/>
              </w:rPr>
            </w:pPr>
          </w:p>
        </w:tc>
      </w:tr>
    </w:tbl>
    <w:tbl>
      <w:tblPr>
        <w:tblpPr w:leftFromText="180" w:rightFromText="180" w:vertAnchor="text" w:horzAnchor="margin" w:tblpXSpec="center" w:tblpY="123"/>
        <w:tblW w:w="7920" w:type="dxa"/>
        <w:tblLook w:val="04A0" w:firstRow="1" w:lastRow="0" w:firstColumn="1" w:lastColumn="0" w:noHBand="0" w:noVBand="1"/>
      </w:tblPr>
      <w:tblGrid>
        <w:gridCol w:w="2340"/>
        <w:gridCol w:w="1860"/>
        <w:gridCol w:w="1860"/>
        <w:gridCol w:w="1860"/>
      </w:tblGrid>
      <w:tr w:rsidR="00A91DAA" w:rsidRPr="006C0617" w:rsidTr="00A91DAA">
        <w:trPr>
          <w:trHeight w:hRule="exact" w:val="230"/>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State</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Ombudsman</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Elder Abuse</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rsidR="00A91DAA" w:rsidRPr="006C0617" w:rsidRDefault="00A91DAA" w:rsidP="00A91DAA">
            <w:pPr>
              <w:jc w:val="center"/>
              <w:rPr>
                <w:rFonts w:ascii="Arial" w:hAnsi="Arial" w:cs="Arial"/>
                <w:b/>
                <w:bCs/>
                <w:color w:val="000000"/>
                <w:sz w:val="19"/>
                <w:szCs w:val="19"/>
                <w:lang w:eastAsia="zh-TW"/>
              </w:rPr>
            </w:pPr>
            <w:r w:rsidRPr="006C0617">
              <w:rPr>
                <w:rFonts w:ascii="Arial" w:hAnsi="Arial" w:cs="Arial"/>
                <w:b/>
                <w:bCs/>
                <w:color w:val="000000"/>
                <w:sz w:val="19"/>
                <w:szCs w:val="19"/>
                <w:lang w:eastAsia="zh-TW"/>
              </w:rPr>
              <w:t>Total Title VII</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Alabama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$244,521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$76,215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$320,736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Alaska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Arizona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$338,520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$89,768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$428,288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Arkansas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$151,771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$48,157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$199,928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California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$1,643,005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$471,073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$2,114,078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Colorado</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$229,739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$60,922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$290,661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Connecticut</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$183,512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$59,907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$243,419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Delaware</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District of Columbia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Florida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$1,171,017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$344,252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$1,515,269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Georgia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$417,408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$110,687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$528,095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Hawaii</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Idaho</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Illinois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$596,499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$197,384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$793,883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Indiana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$313,450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$98,224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$411,674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Iowa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$161,503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$55,927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$217,430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Kansas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$137,515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$183,358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Kentucky</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$217,820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$66,595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$284,415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Louisiana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$212,282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$68,518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$280,800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Maine</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$80,187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$104,030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Maryland</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$274,567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$78,087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$352,654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Massachusetts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$335,314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$109,606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$444,920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Michigan</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$509,768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$160,862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$670,630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Minnesota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$259,630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$76,347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$335,977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Mississippi</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$141,800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$45,198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$186,998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Missouri</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$306,295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$97,643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$403,938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Montana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Nebraska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$89,778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$29,770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$119,548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Nevada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$130,688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$34,656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$165,344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Hampshire</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Jersey</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$432,571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$143,950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$576,521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Mexico</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$103,073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$27,332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$130,405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New York</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$957,985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$318,066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$1,276,051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 Carolina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$478,702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$126,941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$605,643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 Dakota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Ohio</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$596,829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$197,185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$794,014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Oklahoma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$185,182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$60,208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$245,390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Oregon</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$209,824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$56,795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$266,619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Pennsylvania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$699,507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$242,944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$942,451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Rhode Island</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South Carolina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$247,875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$65,731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$313,606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South Dakota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Tennessee</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$324,412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$91,810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$416,222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Texas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$1,031,113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$274,281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$1,305,394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Utah</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$97,888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$25,958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$123,846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Vermont</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Virginia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$380,383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$102,820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$483,203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Washington</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$331,185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$87,823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$419,008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West Virginia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$109,269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$36,736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$146,005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Wisconsin</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$290,654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$90,309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$380,963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Wyoming</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$79,350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$23,843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$103,193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American Samoa</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$9,919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$2,980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$12,899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Guam</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$39,675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$11,921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$51,596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Northern Marianas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$9,919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$2,980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$12,899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Puerto Rico</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$195,622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$54,217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$249,839 </w:t>
            </w:r>
          </w:p>
        </w:tc>
      </w:tr>
      <w:tr w:rsidR="00A91DAA" w:rsidRPr="006C0617" w:rsidTr="00A91DAA">
        <w:trPr>
          <w:trHeight w:hRule="exact" w:val="23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color w:val="000000"/>
                <w:sz w:val="19"/>
                <w:szCs w:val="19"/>
                <w:lang w:eastAsia="zh-TW"/>
              </w:rPr>
            </w:pPr>
            <w:r w:rsidRPr="006C0617">
              <w:rPr>
                <w:rFonts w:ascii="Arial" w:hAnsi="Arial" w:cs="Arial"/>
                <w:color w:val="000000"/>
                <w:sz w:val="19"/>
                <w:szCs w:val="19"/>
                <w:lang w:eastAsia="zh-TW"/>
              </w:rPr>
              <w:t>Virgin Islands</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$39,675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$11,921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color w:val="000000"/>
                <w:sz w:val="19"/>
                <w:szCs w:val="19"/>
                <w:lang w:eastAsia="zh-TW"/>
              </w:rPr>
            </w:pPr>
            <w:r w:rsidRPr="006C0617">
              <w:rPr>
                <w:rFonts w:ascii="Arial" w:hAnsi="Arial" w:cs="Arial"/>
                <w:color w:val="000000"/>
                <w:sz w:val="19"/>
                <w:szCs w:val="19"/>
                <w:lang w:eastAsia="zh-TW"/>
              </w:rPr>
              <w:t xml:space="preserve">$51,596 </w:t>
            </w:r>
          </w:p>
        </w:tc>
      </w:tr>
      <w:tr w:rsidR="00A91DAA" w:rsidRPr="006C0617" w:rsidTr="00A91DAA">
        <w:trPr>
          <w:trHeight w:hRule="exact" w:val="270"/>
        </w:trPr>
        <w:tc>
          <w:tcPr>
            <w:tcW w:w="2340" w:type="dxa"/>
            <w:tcBorders>
              <w:top w:val="nil"/>
              <w:left w:val="nil"/>
              <w:bottom w:val="nil"/>
              <w:right w:val="nil"/>
            </w:tcBorders>
            <w:shd w:val="clear" w:color="auto" w:fill="auto"/>
            <w:noWrap/>
            <w:vAlign w:val="bottom"/>
            <w:hideMark/>
          </w:tcPr>
          <w:p w:rsidR="00A91DAA" w:rsidRPr="006C0617" w:rsidRDefault="00A91DAA" w:rsidP="00A91DAA">
            <w:pPr>
              <w:rPr>
                <w:rFonts w:ascii="Arial" w:hAnsi="Arial" w:cs="Arial"/>
                <w:b/>
                <w:bCs/>
                <w:color w:val="000000"/>
                <w:sz w:val="19"/>
                <w:szCs w:val="19"/>
                <w:lang w:eastAsia="zh-TW"/>
              </w:rPr>
            </w:pPr>
            <w:r w:rsidRPr="006C0617">
              <w:rPr>
                <w:rFonts w:ascii="Arial" w:hAnsi="Arial" w:cs="Arial"/>
                <w:b/>
                <w:bCs/>
                <w:color w:val="000000"/>
                <w:sz w:val="19"/>
                <w:szCs w:val="19"/>
                <w:lang w:eastAsia="zh-TW"/>
              </w:rPr>
              <w:t>TOTAL</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$15,870,051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$4,768,508 </w:t>
            </w:r>
          </w:p>
        </w:tc>
        <w:tc>
          <w:tcPr>
            <w:tcW w:w="1860" w:type="dxa"/>
            <w:tcBorders>
              <w:top w:val="nil"/>
              <w:left w:val="nil"/>
              <w:bottom w:val="nil"/>
              <w:right w:val="nil"/>
            </w:tcBorders>
            <w:shd w:val="clear" w:color="auto" w:fill="auto"/>
            <w:noWrap/>
            <w:vAlign w:val="bottom"/>
            <w:hideMark/>
          </w:tcPr>
          <w:p w:rsidR="00A91DAA" w:rsidRPr="006C0617" w:rsidRDefault="00A91DAA" w:rsidP="00A91DAA">
            <w:pPr>
              <w:jc w:val="right"/>
              <w:rPr>
                <w:rFonts w:ascii="Arial" w:hAnsi="Arial" w:cs="Arial"/>
                <w:b/>
                <w:bCs/>
                <w:color w:val="000000"/>
                <w:sz w:val="19"/>
                <w:szCs w:val="19"/>
                <w:lang w:eastAsia="zh-TW"/>
              </w:rPr>
            </w:pPr>
            <w:r w:rsidRPr="006C0617">
              <w:rPr>
                <w:rFonts w:ascii="Arial" w:hAnsi="Arial" w:cs="Arial"/>
                <w:b/>
                <w:bCs/>
                <w:color w:val="000000"/>
                <w:sz w:val="19"/>
                <w:szCs w:val="19"/>
                <w:lang w:eastAsia="zh-TW"/>
              </w:rPr>
              <w:t xml:space="preserve">$20,638,559 </w:t>
            </w:r>
          </w:p>
        </w:tc>
      </w:tr>
    </w:tbl>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pPr>
    </w:p>
    <w:p w:rsidR="006C0617" w:rsidRDefault="006C0617" w:rsidP="000E1ACE">
      <w:pPr>
        <w:spacing w:after="200" w:line="276" w:lineRule="auto"/>
        <w:contextualSpacing/>
        <w:rPr>
          <w:b/>
          <w:sz w:val="18"/>
          <w:szCs w:val="18"/>
        </w:rPr>
        <w:sectPr w:rsidR="006C0617" w:rsidSect="00DF0A1A">
          <w:headerReference w:type="default" r:id="rId19"/>
          <w:pgSz w:w="12240" w:h="15840" w:code="1"/>
          <w:pgMar w:top="1008" w:right="1440" w:bottom="1008" w:left="1440" w:header="432" w:footer="72" w:gutter="0"/>
          <w:cols w:space="720"/>
          <w:docGrid w:linePitch="360"/>
        </w:sectPr>
      </w:pPr>
    </w:p>
    <w:tbl>
      <w:tblPr>
        <w:tblW w:w="10795" w:type="dxa"/>
        <w:tblInd w:w="93" w:type="dxa"/>
        <w:tblLook w:val="04A0" w:firstRow="1" w:lastRow="0" w:firstColumn="1" w:lastColumn="0" w:noHBand="0" w:noVBand="1"/>
      </w:tblPr>
      <w:tblGrid>
        <w:gridCol w:w="706"/>
        <w:gridCol w:w="1109"/>
        <w:gridCol w:w="5211"/>
        <w:gridCol w:w="1329"/>
        <w:gridCol w:w="1220"/>
        <w:gridCol w:w="1220"/>
      </w:tblGrid>
      <w:tr w:rsidR="006C0617" w:rsidRPr="006C0617" w:rsidTr="00E264D2">
        <w:trPr>
          <w:trHeight w:val="2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State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Tribe No.</w:t>
            </w:r>
          </w:p>
        </w:tc>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Grantee Name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/B</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NSIP</w:t>
            </w:r>
          </w:p>
        </w:tc>
      </w:tr>
      <w:tr w:rsidR="006C0617" w:rsidRPr="006C0617" w:rsidTr="00E264D2">
        <w:trPr>
          <w:trHeight w:val="230"/>
        </w:trPr>
        <w:tc>
          <w:tcPr>
            <w:tcW w:w="706" w:type="dxa"/>
            <w:tcBorders>
              <w:top w:val="single" w:sz="4" w:space="0" w:color="auto"/>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single" w:sz="4" w:space="0" w:color="auto"/>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single" w:sz="4" w:space="0" w:color="auto"/>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Aleutian Pribilof Islands Association, Inc.</w:t>
            </w:r>
          </w:p>
        </w:tc>
        <w:tc>
          <w:tcPr>
            <w:tcW w:w="1329" w:type="dxa"/>
            <w:tcBorders>
              <w:top w:val="single" w:sz="4" w:space="0" w:color="auto"/>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single" w:sz="4" w:space="0" w:color="auto"/>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single" w:sz="4" w:space="0" w:color="auto"/>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$7,582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Association of Village Council Presidents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$16,098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Bristol Bay Native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$4,343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Central Council Tlingit &amp; Haida Indian Tribes of AK</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$901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Copper River Native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Hoonah Indian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Kodiak Area Native Association - Northern 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$70,000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$2,758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Kodiak Area Native Association - Southern 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$2,151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Metlakatla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$2,418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Native Village of Barrow</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$15,607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Tanana Chiefs Conference for Kuskokwim subregion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Tanana Chiefs Conference for Lower Yukon Subregion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$3,693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Tanana Chiefs Conference for Yukon Flats Subregion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$1,458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Tanana Chiefs Conference for Yukon Koyukuk Subregion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$4,556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Tanana Chiefs Conference for Yukon Tanana Subregion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$1,584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Fairbanks Native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Maniilaq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$18,270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Native Villiage of Unalakleet</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$6,351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Chugachmiut</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$1,419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Arctic Slope Native Association, Limited</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$16,654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Denakkanaaga,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Klawock Cooperative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Kootznoowoo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$2,107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Gwichyaa Zhee Gwich'in Tribal Government</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$4,747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Native Village of Point Hope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$594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Seldovia Village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Sitka Tribes of Alaska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$1,378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Ketchikan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$4,939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Kuskokwim Native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$1,893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Southcentral Foundation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$13,037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Kenaitze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$5,906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Wrangell Cooperative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$1,730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Native Village of Savoonga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$11,270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Native Village of Gambell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Native Village of Eyak Traditional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$1,497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Organized Village of Kake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$1,730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Chickaloon Native Village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$2,830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Galena Village (aka Louden Village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$11,914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Asa'carsarmiut Tribal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$1,931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Orutsararmuit Native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Chilkoot Indian Association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$2,083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Knik Tribal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$8,555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49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Yakutat Tlingit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$3,645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50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Craig Tribal Association (Skagway Traditional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$1,339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$3,618,110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$808,150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$204,957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AL</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Poarch Band of Creek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$25,904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AL</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$25,904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Colorado River Indian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$25,924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Gila River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$20,147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Hopi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$11,887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Hualapai Elderly Services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$22,976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Navajo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$56,202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Pascua Yaqui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$33,123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Salt River Pima-Maricopa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$16,767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San Carlos Apache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$7,315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Tohono O'odham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$2,962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White Mountain Apache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$16,067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Ak-Chin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$8,166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Yavapai Apache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$2,841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Havasupai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$5,149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Inter-Tribal Council of Arizona,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$4,974</w:t>
            </w:r>
          </w:p>
        </w:tc>
      </w:tr>
      <w:tr w:rsidR="006C0617" w:rsidRPr="006C0617" w:rsidTr="00E264D2">
        <w:trPr>
          <w:trHeight w:val="2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State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Tribe No.</w:t>
            </w:r>
          </w:p>
        </w:tc>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Grantee Name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/B</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NSIP</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Cocopah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$16,121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Quechan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$13,245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AZ</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$1,657,070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$441,380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$263,866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Bishop Paiute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$19,490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Blue Lake Rancheria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$26,506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Karuk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$4,782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Pit River Health Service,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$4,437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Riverside-San Bernardino Co. Indian Health-Morongo</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$3,313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Riverside-San Bernardino Co. Indian Health-Pechanga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$3,154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Riverside-San Bernardino Co. Indian Health-Soboba/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$6,180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Sonoma County Indian Health Project - Sonoma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$8,079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Southern Indian Health Council, Inc. - Area I</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$9,016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Southern Indian Health Council, Inc. - Area II</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$6,308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Toiyabe Indian Health Project, Inc. - Northern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$8,065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Tule River Indian Health Center,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$20,020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Coast Indian Community of Resighini Rancheria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$9,431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United Indian Health Services for Smith River</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$12,859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Indian Senior Center,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$9,590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Sonoma County Indian Health Project - Manchester</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$4,457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Pala Band of Mission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$16,990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Redding Rancheria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$5,297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Toiyabe Indian Health Project, Inc. - Southern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$4,147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Hoopa Valley Tribe / K'ima:w Medical Center</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$7,649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Round Valley Indian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$6,721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Fort Mojave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$7,134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 Indian Manpower Consortium, Inc. - Chico,</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$3,659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 Indian Manpower Consortium, Inc. - Big Sandy,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$9,247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 Indian Manpower Consortium, Inc. - Berry Creek,</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$4,690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 Indian Manpower Consortium, Inc. - Coyote Valley,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$5,968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 Indian Manpower Consortium, Inc. - Enterprise,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$10,055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Santa Ynez Tribal Health Clinic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$1,157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 Indian Manpower Consortium, Inc. - North Fork,</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$6,249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$2,111,820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$389,710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$244,650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Southern Ute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$4,376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Ute Mountain Ute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$10,596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$154,750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$14,972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Mohegan Tribe of Indians of Connecticut</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$6,695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$6,695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Alu Like,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$1,505,000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$30,934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$1,505,000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$30,934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Sac &amp; Fox Tribe of the Mississippi in Iowa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$7,866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$7,866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Coeur d'Alene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$19,246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Nez Perce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$24,169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Shoshone-Bannock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$19,906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$257,310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$74,520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$63,321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KS</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Kickapoo Tribe in Kansas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$65,000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$13,940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KS</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Prairie Band of Potawatomi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$26,114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KS</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Iowa Tribe of Kansas and Nebraska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$65,000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$7,131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KS</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$47,185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Institute for Indian Development,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$17,351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$17,351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Wampanoag Tribe of Gay Head (Aquinnah)</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$739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Mashpee Wampanoag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$2,245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$154,750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$2,984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Pleasant Point Passamaquoddy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$25,256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Penobscot Indian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$4,665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Aroostook Band of Micmacs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$1,512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$218,620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$34,390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$31,433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Grand Traverse Band of Ottawa &amp; Chippewa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$12,865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Inter-Tribal Council of Michigan,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$3,525</w:t>
            </w:r>
          </w:p>
        </w:tc>
      </w:tr>
      <w:tr w:rsidR="006C0617" w:rsidRPr="006C0617" w:rsidTr="00E264D2">
        <w:trPr>
          <w:trHeight w:val="2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State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Tribe No.</w:t>
            </w:r>
          </w:p>
        </w:tc>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Grantee Name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/B</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NSIP</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Keweenaw Bay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$17,221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Sault Ste. Marie Tribe of Chippewa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$19,399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Little Traverse Bay Bands of Odawa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$5,335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Bay Mills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$5,448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Pokagon Band of Potawatomi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$3,975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Little River Band of Ottawa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$6,243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Nottawaseppi Huron Band of the Potawatomi</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$4,623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$757,180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$103,150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$78,634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Bois Forte Reservation Tribal Government</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$10,710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Fond du Lac Band of Lake Superior Chippewa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$43,068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Leech Lake Band of Ojibwe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$21,955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Red Lake Band of Chippewa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$57,136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White Earth Reservation Tribal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$14,481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Grand Portage Band of Lake Superior Chippewa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$5,005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Mille Lacs Band of Ojibwe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$19,107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Lower Sioux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$13,948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MN</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$748,520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$154,760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$185,410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MO</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99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Eastern Shawnee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$20,566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MO</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$20,566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MS</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Mississippi Band of Choctaw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$19,955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MS</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$19,955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Assiniboine and Sioux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$43,037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Blackfeet Tribe - Eagle Shield Center</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$22,097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Chippewa Cree Tribe Senior Citizens Department</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$49,151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Confederated Salish and Kootenai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$7,971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Fort Belknap Indian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$20,371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Northern Cheyenne Elderly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$24,701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Crow Tribal Elders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$50,489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$762,570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$252,250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$217,817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NC</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Eastern Band of Cherokee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$35,789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NC</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$35,789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Spirit Lake Senior Services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$30,752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Standing Rock Sioux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$90,988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Three Affiliated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$12,243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Trenton Indian Service Area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$1,662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Turtle Mountain Band of Chippewa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$17,009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$520,950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$166,250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$152,654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Omaha Tribe of Nebraska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$1,639</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$11,788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Santee Sioux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$65,000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$1,451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Winnebago Tribe of Nebraska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$18,448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NE</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$209,920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$18,829</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$31,687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Eight Northern Indian Pueblos Council (Picuris, etc.)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$46,490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Eight N. Indian Pueblos Council (San Ildefonso, etc.)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$16,788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Five Sandoval Indian Pueblos, Inc.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$87,500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$12,966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Jicarilla Apache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$23,630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Laguna Rainbow Corporation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$17,536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Mescalero Apache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$8,883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Pueblo de Cochiti Elder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$7,786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Pueblo of Isleta Elder Center</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$27,555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Pueblo of Jemez</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$9,069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Pueblo of San Felipe Elderly Services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$28,128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Taos Pueblo Senior Citizens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$9,507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Pueblo of Zuni</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$27,485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Ohkay Owingeh Senior Citizens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$14,466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Santa Clara Pueblo</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$21,512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Santo Domingo Pueblo</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$19,985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Pueblo of Tesuque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$7,594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Acoma Elderly &amp; Assistance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$16,023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NM</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$1,701,060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$498,730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$315,403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Fallon Paiute Shoshone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$22,436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Inter-Tribal Council of Nevada, Inc. (McDermitt, etc.)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$7,309</w:t>
            </w:r>
          </w:p>
        </w:tc>
      </w:tr>
      <w:tr w:rsidR="006C0617" w:rsidRPr="006C0617" w:rsidTr="00E264D2">
        <w:trPr>
          <w:trHeight w:val="2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State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Tribe No.</w:t>
            </w:r>
          </w:p>
        </w:tc>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Grantee Name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/B</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NSIP</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Inter-Tribal Council of Nevada, Inc. (Duckwater, etc.)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$4,904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Inter-Tribal Council of Nevada, Inc. (Ely, etc.)</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$5,252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Shoshone-Paiute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$8,430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Walker River Paiute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$30,241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Washoe Tribe of Nevada and California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$38,230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Yerington Paiute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$9,016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Pyramid Lake Paiute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Elko Band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$8,918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Reno-Sparks Indian Colony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$13,888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NV</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$779,880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$160,440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$154,972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St. Regis Mohawk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Seneca Nation of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$24,585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Oneida Indian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$5,013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Shinnecock Indian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$7,123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$419,700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$120,370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$46,978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Apache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Caddo Nation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$1,919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Cherokee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$157,414</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$47,263</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$54,438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Cheyenne and Arapaho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$7,608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Choctaw Nation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$42,265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Citizen Potawatomi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$10,626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Comanche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$11,043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Delaware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$78,960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$8,596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Iowa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$7,399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Kickapoo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$100,000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$16,290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Kiowa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$4,643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Miami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$42,002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Muscogee (Creek) Nation/Elderly Nutrition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$150,828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Otoe-Missouria Tribe of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$9,721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Ottawa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$26,337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Pawnee Nation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$80,000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$10,592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Peoria Tribe of Indians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$26,121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Ponca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$11,428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Quapaw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$26,945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Sac and Fox Nation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$17,216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Seminole Nation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$15,520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Seneca-Cayuga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$9,778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Wichita and Affiliated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$7,849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Wyandotte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$21,286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Absentee Shawnee Tribe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$31,243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Fort Sill Apache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$8,152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United Keetoowah Band of Cherokee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$31,565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Chickasaw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$133,829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Kaw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$21,573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Osage Nation of Oklahoma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$56,500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Delaware Tribes of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$6,792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Alabama-Quassarte Tribal Town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$580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OK</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$3,778,534</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$1,107,763</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$835,269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Confederated Tribes of Siletz Indians of Oregon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$1,738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Yellowhawk Tribal Health Center</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$17,739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Confederated Tribes of Warm Springs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$7,954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Confederated Tribes of Grand Ronde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$12,471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The Klamath Tribes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$4,047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 Tribes of Coos, Lower Umpqua &amp;</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$8,282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Cow Creek Band of Umpqua Tribe of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$55,717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OR</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$635,260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$189,170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$107,948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Narragansett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$2,953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$2,953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SC</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Catawba Indian Nation Eldercare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$7,909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SC</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$7,909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Cheyenne River Elderly Nutrition Services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$8,398</w:t>
            </w:r>
          </w:p>
        </w:tc>
      </w:tr>
      <w:tr w:rsidR="006C0617" w:rsidRPr="006C0617" w:rsidTr="00E264D2">
        <w:trPr>
          <w:trHeight w:val="2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State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Tribe No.</w:t>
            </w:r>
          </w:p>
        </w:tc>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Grantee Name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/B</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rPr>
                <w:rFonts w:ascii="Arial" w:hAnsi="Arial" w:cs="Arial"/>
                <w:b/>
                <w:bCs/>
                <w:sz w:val="19"/>
                <w:szCs w:val="19"/>
                <w:lang w:eastAsia="zh-TW"/>
              </w:rPr>
            </w:pPr>
            <w:r w:rsidRPr="006C0617">
              <w:rPr>
                <w:rFonts w:ascii="Arial" w:hAnsi="Arial" w:cs="Arial"/>
                <w:b/>
                <w:bCs/>
                <w:sz w:val="19"/>
                <w:szCs w:val="19"/>
                <w:lang w:eastAsia="zh-TW"/>
              </w:rPr>
              <w:t xml:space="preserve"> TITLE6 C</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17" w:rsidRPr="006C0617" w:rsidRDefault="006C0617" w:rsidP="006C0617">
            <w:pPr>
              <w:jc w:val="center"/>
              <w:rPr>
                <w:rFonts w:ascii="Arial" w:hAnsi="Arial" w:cs="Arial"/>
                <w:b/>
                <w:bCs/>
                <w:sz w:val="19"/>
                <w:szCs w:val="19"/>
                <w:lang w:eastAsia="zh-TW"/>
              </w:rPr>
            </w:pPr>
            <w:r w:rsidRPr="006C0617">
              <w:rPr>
                <w:rFonts w:ascii="Arial" w:hAnsi="Arial" w:cs="Arial"/>
                <w:b/>
                <w:bCs/>
                <w:sz w:val="19"/>
                <w:szCs w:val="19"/>
                <w:lang w:eastAsia="zh-TW"/>
              </w:rPr>
              <w:t>NSIP</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Crow Creek Sioux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$17,370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Lower Brule Sioux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$19,725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Oglala Sioux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$35,837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Rosebud Sioux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$33,848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Sisseton Wahpeton Oyate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$31,348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Yankton Sioux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$102,560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$34,400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$21,411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SD</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$797,040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$223,570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$167,937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TX</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Alabama-Coushatta Tribe of Texas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$7,042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TX</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Kickapoo Traditional Tribe of Texas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$16,854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TX</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$136,330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$23,896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Ute Indian Tribe, Unitah &amp; Ouray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$3,632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UT</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$3,632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Confederated Tribes of the Colville Reservation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$16,366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Lower Elwha Klallam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$65,000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$3,477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Lummi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$22,363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Makah Tribe Senior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$10,418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Muckleshoot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$39,292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Puyallup Tribe of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$9,799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Quinault Tribe of the Quinault Indian Reservation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$34,814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Swinomish Indian Tribal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$6,346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Spokane Tribes Senior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$12,598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The Tulalip Tribes of Washington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$12,086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Jamestown S'Klallam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$7,131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Quileute Tribal Council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$4,768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 Puget Intertribal Planning Agency - Shoalwater Bay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$8,721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Stillaguamish Tribe of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$2,241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Upper Skagit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$2,825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The Suquamish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$13,481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Port Gamble S'Klallam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$9,676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Samish Indian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$2,480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Cowlitz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$155,990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$45,860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$3,786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Skokomish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$2,674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29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Confederated Tribes of the Chehalis Reservation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$6,189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Nooksack Indian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$9,564</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Yakama Indian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$2,517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Snoqualmie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$2,618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 Puget Intertribal Planning Agency - Nisqually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$3,818</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34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Squaxin Island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$8,123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WA</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$2,323,440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$613,320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$258,171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Bad River Elderly Nutrition Program</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$15,856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02</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Forest County Potawatomi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$8,383</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Lac Courte Oreilles Band of Lake Superior Chippewa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$7,202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04</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Lac du Flambeau Band of Lake Superior Chippewa Indians</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$22,930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$16,657</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05</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Menominee Indian Tribe of Wisconsin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$4,750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06</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Oneida Tribe of Indians of Wisconsin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$118,790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$40,130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$8,012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07</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Red Cliff Band of Lake Superior Chippewa</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$15,116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08</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St. Croix Chippewa Indians of Wisconsin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$5,529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09</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Stockbridge-Munsee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$72,460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$17,190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$2,105</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10</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Ho-Chunk Nation</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$28,660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$41,756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11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Sokaogon Chippewa Community</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$63,870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$7,736</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WI</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$921,060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$240,730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$133,102</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01</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Northern Arapaho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$7,661</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03</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Eastern Shoshone Tribe</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$82,290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$12,009</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WY</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$164,580</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$19,670</w:t>
            </w:r>
          </w:p>
        </w:tc>
      </w:tr>
      <w:tr w:rsidR="006C0617" w:rsidRPr="006C0617" w:rsidTr="00E264D2">
        <w:trPr>
          <w:trHeight w:val="230"/>
        </w:trPr>
        <w:tc>
          <w:tcPr>
            <w:tcW w:w="706"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109" w:type="dxa"/>
            <w:tcBorders>
              <w:top w:val="nil"/>
              <w:left w:val="nil"/>
              <w:bottom w:val="nil"/>
              <w:right w:val="nil"/>
            </w:tcBorders>
            <w:shd w:val="clear" w:color="auto" w:fill="auto"/>
            <w:noWrap/>
            <w:vAlign w:val="bottom"/>
            <w:hideMark/>
          </w:tcPr>
          <w:p w:rsidR="006C0617" w:rsidRPr="006C0617" w:rsidRDefault="006C0617" w:rsidP="006C0617">
            <w:pPr>
              <w:jc w:val="center"/>
              <w:rPr>
                <w:rFonts w:ascii="Arial" w:hAnsi="Arial" w:cs="Arial"/>
                <w:sz w:val="19"/>
                <w:szCs w:val="19"/>
                <w:lang w:eastAsia="zh-TW"/>
              </w:rPr>
            </w:pPr>
            <w:r w:rsidRPr="006C0617">
              <w:rPr>
                <w:rFonts w:ascii="Arial" w:hAnsi="Arial" w:cs="Arial"/>
                <w:sz w:val="19"/>
                <w:szCs w:val="19"/>
                <w:lang w:eastAsia="zh-TW"/>
              </w:rPr>
              <w:t>Total</w:t>
            </w:r>
          </w:p>
        </w:tc>
        <w:tc>
          <w:tcPr>
            <w:tcW w:w="5211" w:type="dxa"/>
            <w:tcBorders>
              <w:top w:val="nil"/>
              <w:left w:val="nil"/>
              <w:bottom w:val="nil"/>
              <w:right w:val="nil"/>
            </w:tcBorders>
            <w:shd w:val="clear" w:color="auto" w:fill="auto"/>
            <w:noWrap/>
            <w:vAlign w:val="bottom"/>
            <w:hideMark/>
          </w:tcPr>
          <w:p w:rsidR="006C0617" w:rsidRPr="006C0617" w:rsidRDefault="006C0617" w:rsidP="006C0617">
            <w:pPr>
              <w:rPr>
                <w:rFonts w:ascii="Arial" w:hAnsi="Arial" w:cs="Arial"/>
                <w:sz w:val="19"/>
                <w:szCs w:val="19"/>
                <w:lang w:eastAsia="zh-TW"/>
              </w:rPr>
            </w:pPr>
            <w:r w:rsidRPr="006C0617">
              <w:rPr>
                <w:rFonts w:ascii="Arial" w:hAnsi="Arial" w:cs="Arial"/>
                <w:sz w:val="19"/>
                <w:szCs w:val="19"/>
                <w:lang w:eastAsia="zh-TW"/>
              </w:rPr>
              <w:t>Total</w:t>
            </w:r>
          </w:p>
        </w:tc>
        <w:tc>
          <w:tcPr>
            <w:tcW w:w="1329"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$25,526,394</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$6,015,922</w:t>
            </w:r>
          </w:p>
        </w:tc>
        <w:tc>
          <w:tcPr>
            <w:tcW w:w="1220" w:type="dxa"/>
            <w:tcBorders>
              <w:top w:val="nil"/>
              <w:left w:val="nil"/>
              <w:bottom w:val="nil"/>
              <w:right w:val="nil"/>
            </w:tcBorders>
            <w:shd w:val="clear" w:color="auto" w:fill="auto"/>
            <w:noWrap/>
            <w:vAlign w:val="bottom"/>
            <w:hideMark/>
          </w:tcPr>
          <w:p w:rsidR="006C0617" w:rsidRPr="006C0617" w:rsidRDefault="006C0617" w:rsidP="006C0617">
            <w:pPr>
              <w:jc w:val="right"/>
              <w:rPr>
                <w:rFonts w:ascii="Arial" w:hAnsi="Arial" w:cs="Arial"/>
                <w:sz w:val="19"/>
                <w:szCs w:val="19"/>
                <w:lang w:eastAsia="zh-TW"/>
              </w:rPr>
            </w:pPr>
            <w:r w:rsidRPr="006C0617">
              <w:rPr>
                <w:rFonts w:ascii="Arial" w:hAnsi="Arial" w:cs="Arial"/>
                <w:sz w:val="19"/>
                <w:szCs w:val="19"/>
                <w:lang w:eastAsia="zh-TW"/>
              </w:rPr>
              <w:t>$3,782,470</w:t>
            </w:r>
          </w:p>
        </w:tc>
      </w:tr>
    </w:tbl>
    <w:p w:rsidR="006C0617" w:rsidRDefault="006C0617" w:rsidP="006C0617">
      <w:pPr>
        <w:spacing w:after="200" w:line="276" w:lineRule="auto"/>
        <w:contextualSpacing/>
        <w:rPr>
          <w:b/>
          <w:sz w:val="18"/>
          <w:szCs w:val="18"/>
        </w:rPr>
      </w:pPr>
    </w:p>
    <w:sectPr w:rsidR="006C0617" w:rsidSect="006C0617">
      <w:pgSz w:w="12240" w:h="15840" w:code="1"/>
      <w:pgMar w:top="720" w:right="1440" w:bottom="720" w:left="1008" w:header="432"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46" w:rsidRDefault="00EE0C46" w:rsidP="00E873E7">
      <w:r>
        <w:separator/>
      </w:r>
    </w:p>
  </w:endnote>
  <w:endnote w:type="continuationSeparator" w:id="0">
    <w:p w:rsidR="00EE0C46" w:rsidRDefault="00EE0C46" w:rsidP="00E8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dobe Garamond Pr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62" w:rsidRDefault="00853662">
    <w:pPr>
      <w:pStyle w:val="Footer"/>
      <w:jc w:val="center"/>
    </w:pPr>
    <w:r>
      <w:fldChar w:fldCharType="begin"/>
    </w:r>
    <w:r>
      <w:instrText xml:space="preserve"> PAGE   \* MERGEFORMAT </w:instrText>
    </w:r>
    <w:r>
      <w:fldChar w:fldCharType="separate"/>
    </w:r>
    <w:r w:rsidR="00CC65BA">
      <w:rPr>
        <w:noProof/>
      </w:rPr>
      <w:t>55</w:t>
    </w:r>
    <w:r>
      <w:rPr>
        <w:noProof/>
      </w:rPr>
      <w:fldChar w:fldCharType="end"/>
    </w:r>
  </w:p>
  <w:p w:rsidR="00853662" w:rsidRDefault="00853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62" w:rsidRDefault="00853662">
    <w:pPr>
      <w:pStyle w:val="Footer"/>
      <w:jc w:val="center"/>
    </w:pPr>
  </w:p>
  <w:p w:rsidR="00853662" w:rsidRDefault="00853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46" w:rsidRDefault="00EE0C46" w:rsidP="00E873E7">
      <w:r>
        <w:separator/>
      </w:r>
    </w:p>
  </w:footnote>
  <w:footnote w:type="continuationSeparator" w:id="0">
    <w:p w:rsidR="00EE0C46" w:rsidRDefault="00EE0C46" w:rsidP="00E873E7">
      <w:r>
        <w:continuationSeparator/>
      </w:r>
    </w:p>
  </w:footnote>
  <w:footnote w:id="1">
    <w:p w:rsidR="00853662" w:rsidRDefault="00853662" w:rsidP="00F27520">
      <w:pPr>
        <w:pStyle w:val="FootnoteText"/>
      </w:pPr>
      <w:r>
        <w:rPr>
          <w:rStyle w:val="FootnoteReference"/>
        </w:rPr>
        <w:footnoteRef/>
      </w:r>
      <w:r>
        <w:t xml:space="preserve"> U.S. Census Bureau. Population Division. Annual Estimates of the Resident Population for Selected Age Groups by Sex for the United States, States, Counties, and Puerto Rico Commonwealth and Municipios: April 1, 2010 to July 1, 2015. Release Date: June 2016. Accessed November 2016.</w:t>
      </w:r>
    </w:p>
  </w:footnote>
  <w:footnote w:id="2">
    <w:p w:rsidR="00853662" w:rsidRDefault="00853662" w:rsidP="00644656">
      <w:pPr>
        <w:pStyle w:val="FootnoteText"/>
      </w:pPr>
      <w:r w:rsidRPr="00E24558">
        <w:rPr>
          <w:rStyle w:val="FootnoteReference"/>
        </w:rPr>
        <w:footnoteRef/>
      </w:r>
      <w:r w:rsidRPr="00E24558">
        <w:t xml:space="preserve"> </w:t>
      </w:r>
      <w:r>
        <w:t xml:space="preserve"> Ibid and U.S. Census Bureau. Population Division. </w:t>
      </w:r>
      <w:r w:rsidRPr="00F27520">
        <w:t>Table 9. Projections of the Population by Sex and Age for the United States: 2015 to 2060 (NP2014-T9)</w:t>
      </w:r>
      <w:r>
        <w:t>. Release Date: December 2014. Accessed November 2016.</w:t>
      </w:r>
    </w:p>
    <w:p w:rsidR="00853662" w:rsidRPr="00C633B4" w:rsidRDefault="00853662" w:rsidP="00C633B4">
      <w:pPr>
        <w:ind w:left="180" w:hanging="180"/>
      </w:pPr>
      <w:r>
        <w:rPr>
          <w:sz w:val="20"/>
          <w:szCs w:val="20"/>
        </w:rPr>
        <w:t xml:space="preserve">And Centers for Medicare &amp; Medicaid Services, The characteristics and perceptions of the Medicare population.  Data from the 2013 Medicare Current Beneficiary Survey.  [data tables 2.5a and 2.6a]. </w:t>
      </w:r>
      <w:hyperlink r:id="rId1" w:history="1">
        <w:r w:rsidR="00634C85">
          <w:rPr>
            <w:rStyle w:val="Hyperlink"/>
            <w:sz w:val="20"/>
            <w:szCs w:val="20"/>
          </w:rPr>
          <w:t>2013 Characteristics and Perceptions of the Medicare Population</w:t>
        </w:r>
      </w:hyperlink>
      <w:r>
        <w:rPr>
          <w:sz w:val="20"/>
          <w:szCs w:val="20"/>
        </w:rPr>
        <w:t xml:space="preserve"> </w:t>
      </w:r>
      <w:r w:rsidRPr="00E24558">
        <w:rPr>
          <w:sz w:val="20"/>
          <w:szCs w:val="20"/>
        </w:rPr>
        <w:t xml:space="preserve">Accessed </w:t>
      </w:r>
      <w:r>
        <w:rPr>
          <w:sz w:val="20"/>
          <w:szCs w:val="20"/>
        </w:rPr>
        <w:t>November</w:t>
      </w:r>
      <w:r w:rsidRPr="00E24558">
        <w:rPr>
          <w:sz w:val="20"/>
          <w:szCs w:val="20"/>
        </w:rPr>
        <w:t xml:space="preserve"> 201</w:t>
      </w:r>
      <w:r>
        <w:rPr>
          <w:sz w:val="20"/>
          <w:szCs w:val="20"/>
        </w:rPr>
        <w:t>6</w:t>
      </w:r>
      <w:r w:rsidRPr="00E24558">
        <w:rPr>
          <w:sz w:val="20"/>
          <w:szCs w:val="20"/>
        </w:rPr>
        <w:t>.</w:t>
      </w:r>
    </w:p>
  </w:footnote>
  <w:footnote w:id="3">
    <w:p w:rsidR="00853662" w:rsidRPr="00BD7EBC" w:rsidRDefault="00853662" w:rsidP="00157D52">
      <w:pPr>
        <w:rPr>
          <w:bCs/>
          <w:sz w:val="20"/>
          <w:szCs w:val="20"/>
        </w:rPr>
      </w:pPr>
      <w:r w:rsidRPr="00BD7EBC">
        <w:rPr>
          <w:rStyle w:val="FootnoteReference"/>
          <w:sz w:val="20"/>
          <w:szCs w:val="20"/>
        </w:rPr>
        <w:footnoteRef/>
      </w:r>
      <w:r w:rsidRPr="00BD7EBC">
        <w:rPr>
          <w:sz w:val="20"/>
          <w:szCs w:val="20"/>
        </w:rPr>
        <w:t xml:space="preserve"> </w:t>
      </w:r>
      <w:r>
        <w:rPr>
          <w:sz w:val="20"/>
          <w:szCs w:val="20"/>
        </w:rPr>
        <w:t xml:space="preserve"> </w:t>
      </w:r>
      <w:r w:rsidRPr="00BD7EBC">
        <w:rPr>
          <w:sz w:val="20"/>
          <w:szCs w:val="20"/>
        </w:rPr>
        <w:t xml:space="preserve">Ibid. </w:t>
      </w:r>
    </w:p>
  </w:footnote>
  <w:footnote w:id="4">
    <w:p w:rsidR="00853662" w:rsidRDefault="00853662">
      <w:pPr>
        <w:pStyle w:val="FootnoteText"/>
      </w:pPr>
      <w:r>
        <w:rPr>
          <w:rStyle w:val="FootnoteReference"/>
        </w:rPr>
        <w:footnoteRef/>
      </w:r>
      <w:r>
        <w:t xml:space="preserve"> AoA’s FY 2015 State Program Report. </w:t>
      </w:r>
      <w:r w:rsidRPr="00BD7EBC">
        <w:t>These data are preliminary and should not be taken as final</w:t>
      </w:r>
      <w:r>
        <w:t>.</w:t>
      </w:r>
    </w:p>
  </w:footnote>
  <w:footnote w:id="5">
    <w:p w:rsidR="00853662" w:rsidRDefault="00853662">
      <w:pPr>
        <w:pStyle w:val="FootnoteText"/>
      </w:pPr>
      <w:r>
        <w:rPr>
          <w:rStyle w:val="FootnoteReference"/>
        </w:rPr>
        <w:footnoteRef/>
      </w:r>
      <w:r>
        <w:t xml:space="preserve"> Ibid.</w:t>
      </w:r>
    </w:p>
  </w:footnote>
  <w:footnote w:id="6">
    <w:p w:rsidR="00853662" w:rsidRPr="00181D1E" w:rsidRDefault="00853662">
      <w:pPr>
        <w:pStyle w:val="FootnoteText"/>
      </w:pPr>
      <w:r w:rsidRPr="00181D1E">
        <w:rPr>
          <w:rStyle w:val="FootnoteReference"/>
        </w:rPr>
        <w:footnoteRef/>
      </w:r>
      <w:r w:rsidRPr="00181D1E">
        <w:t xml:space="preserve"> AoA’s FY 201</w:t>
      </w:r>
      <w:r>
        <w:t>5</w:t>
      </w:r>
      <w:r w:rsidRPr="00181D1E">
        <w:t>State Program Report. </w:t>
      </w:r>
      <w:r w:rsidRPr="00BD7EBC">
        <w:t>These data are preliminary and should not be taken as final</w:t>
      </w:r>
    </w:p>
  </w:footnote>
  <w:footnote w:id="7">
    <w:p w:rsidR="00853662" w:rsidRPr="00181D1E" w:rsidRDefault="00853662" w:rsidP="008F6A94">
      <w:pPr>
        <w:pStyle w:val="FootnoteText"/>
      </w:pPr>
      <w:r w:rsidRPr="00181D1E">
        <w:rPr>
          <w:rStyle w:val="FootnoteReference"/>
        </w:rPr>
        <w:footnoteRef/>
      </w:r>
      <w:r w:rsidRPr="00181D1E">
        <w:t xml:space="preserve"> </w:t>
      </w:r>
      <w:r>
        <w:t>2015</w:t>
      </w:r>
      <w:r w:rsidRPr="00181D1E">
        <w:t xml:space="preserve"> National Survey of Older Americans Act Participants.  </w:t>
      </w:r>
      <w:hyperlink r:id="rId2" w:history="1">
        <w:r w:rsidR="00D65A85">
          <w:rPr>
            <w:rStyle w:val="Hyperlink"/>
          </w:rPr>
          <w:t>AoA: AGing Integrated Database</w:t>
        </w:r>
      </w:hyperlink>
      <w:r w:rsidRPr="00181D1E">
        <w:t>,</w:t>
      </w:r>
    </w:p>
  </w:footnote>
  <w:footnote w:id="8">
    <w:p w:rsidR="00853662" w:rsidRDefault="00853662">
      <w:pPr>
        <w:pStyle w:val="FootnoteText"/>
      </w:pPr>
      <w:r w:rsidRPr="00181D1E">
        <w:rPr>
          <w:rStyle w:val="FootnoteReference"/>
        </w:rPr>
        <w:footnoteRef/>
      </w:r>
      <w:r w:rsidRPr="00181D1E">
        <w:t xml:space="preserve"> Ibid.</w:t>
      </w:r>
    </w:p>
  </w:footnote>
  <w:footnote w:id="9">
    <w:p w:rsidR="00853662" w:rsidRDefault="00853662">
      <w:pPr>
        <w:pStyle w:val="FootnoteText"/>
      </w:pPr>
      <w:r>
        <w:rPr>
          <w:rStyle w:val="FootnoteReference"/>
        </w:rPr>
        <w:footnoteRef/>
      </w:r>
      <w:r>
        <w:t xml:space="preserve"> Minority client refers to individuals who self-report at least one of the following racial or ethnic identities: Asian, Black or African American, Hispanic or Latino, Native Hawaiian or other Pacific Islander, American Indian or Alaska Native.</w:t>
      </w:r>
    </w:p>
  </w:footnote>
  <w:footnote w:id="10">
    <w:p w:rsidR="00853662" w:rsidRPr="00C84488" w:rsidRDefault="00853662" w:rsidP="00F749D5">
      <w:pPr>
        <w:pStyle w:val="Default"/>
        <w:rPr>
          <w:sz w:val="20"/>
          <w:szCs w:val="20"/>
        </w:rPr>
      </w:pPr>
      <w:r>
        <w:rPr>
          <w:rStyle w:val="FootnoteReference"/>
        </w:rPr>
        <w:footnoteRef/>
      </w:r>
      <w:r>
        <w:t xml:space="preserve"> S</w:t>
      </w:r>
      <w:r>
        <w:rPr>
          <w:sz w:val="20"/>
          <w:szCs w:val="20"/>
        </w:rPr>
        <w:t>ervice U</w:t>
      </w:r>
      <w:r w:rsidRPr="00C84488">
        <w:rPr>
          <w:sz w:val="20"/>
          <w:szCs w:val="20"/>
        </w:rPr>
        <w:t>nits</w:t>
      </w:r>
      <w:r>
        <w:rPr>
          <w:sz w:val="20"/>
          <w:szCs w:val="20"/>
        </w:rPr>
        <w:t xml:space="preserve"> Definitions:</w:t>
      </w:r>
    </w:p>
    <w:p w:rsidR="00853662" w:rsidRPr="00C84488" w:rsidRDefault="00853662" w:rsidP="00F749D5">
      <w:pPr>
        <w:pStyle w:val="BodyText"/>
        <w:rPr>
          <w:color w:val="000000"/>
          <w:sz w:val="20"/>
          <w:szCs w:val="20"/>
        </w:rPr>
      </w:pPr>
      <w:r w:rsidRPr="00C84488">
        <w:rPr>
          <w:sz w:val="20"/>
          <w:szCs w:val="20"/>
        </w:rPr>
        <w:t>Personal Care</w:t>
      </w:r>
      <w:r>
        <w:rPr>
          <w:sz w:val="20"/>
          <w:szCs w:val="20"/>
        </w:rPr>
        <w:t xml:space="preserve"> =</w:t>
      </w:r>
      <w:r w:rsidRPr="00C84488">
        <w:rPr>
          <w:sz w:val="20"/>
          <w:szCs w:val="20"/>
        </w:rPr>
        <w:t xml:space="preserve"> 1 Hour</w:t>
      </w:r>
    </w:p>
    <w:p w:rsidR="00853662" w:rsidRPr="00C84488" w:rsidRDefault="00853662" w:rsidP="00F749D5">
      <w:pPr>
        <w:pStyle w:val="Default"/>
        <w:rPr>
          <w:sz w:val="20"/>
          <w:szCs w:val="20"/>
        </w:rPr>
      </w:pPr>
      <w:r w:rsidRPr="00C84488">
        <w:rPr>
          <w:bCs/>
          <w:sz w:val="20"/>
          <w:szCs w:val="20"/>
        </w:rPr>
        <w:t xml:space="preserve">Homemaker </w:t>
      </w:r>
      <w:r>
        <w:rPr>
          <w:bCs/>
          <w:sz w:val="20"/>
          <w:szCs w:val="20"/>
        </w:rPr>
        <w:t>=</w:t>
      </w:r>
      <w:r w:rsidRPr="00C84488">
        <w:rPr>
          <w:bCs/>
          <w:sz w:val="20"/>
          <w:szCs w:val="20"/>
        </w:rPr>
        <w:t xml:space="preserve"> </w:t>
      </w:r>
      <w:r w:rsidRPr="00C84488">
        <w:rPr>
          <w:sz w:val="20"/>
          <w:szCs w:val="20"/>
        </w:rPr>
        <w:t>1 Hour</w:t>
      </w:r>
    </w:p>
    <w:p w:rsidR="00853662" w:rsidRPr="00C84488" w:rsidRDefault="00853662" w:rsidP="00F749D5">
      <w:pPr>
        <w:pStyle w:val="Default"/>
        <w:rPr>
          <w:sz w:val="20"/>
          <w:szCs w:val="20"/>
        </w:rPr>
      </w:pPr>
      <w:r w:rsidRPr="00C84488">
        <w:rPr>
          <w:bCs/>
          <w:sz w:val="20"/>
          <w:szCs w:val="20"/>
        </w:rPr>
        <w:t xml:space="preserve">Chore </w:t>
      </w:r>
      <w:r>
        <w:rPr>
          <w:sz w:val="20"/>
          <w:szCs w:val="20"/>
        </w:rPr>
        <w:t>=</w:t>
      </w:r>
      <w:r w:rsidRPr="00C84488">
        <w:rPr>
          <w:sz w:val="20"/>
          <w:szCs w:val="20"/>
        </w:rPr>
        <w:t xml:space="preserve"> 1 Hour </w:t>
      </w:r>
    </w:p>
    <w:p w:rsidR="00853662" w:rsidRPr="00C84488" w:rsidRDefault="00853662" w:rsidP="00F749D5">
      <w:pPr>
        <w:pStyle w:val="Default"/>
        <w:rPr>
          <w:sz w:val="20"/>
          <w:szCs w:val="20"/>
        </w:rPr>
      </w:pPr>
      <w:r w:rsidRPr="00C84488">
        <w:rPr>
          <w:bCs/>
          <w:sz w:val="20"/>
          <w:szCs w:val="20"/>
        </w:rPr>
        <w:t xml:space="preserve">Home-Delivered Meal </w:t>
      </w:r>
      <w:r>
        <w:rPr>
          <w:sz w:val="20"/>
          <w:szCs w:val="20"/>
        </w:rPr>
        <w:t>=</w:t>
      </w:r>
      <w:r w:rsidRPr="00C84488">
        <w:rPr>
          <w:sz w:val="20"/>
          <w:szCs w:val="20"/>
        </w:rPr>
        <w:t xml:space="preserve"> 1 Meal. </w:t>
      </w:r>
    </w:p>
    <w:p w:rsidR="00853662" w:rsidRPr="00C84488" w:rsidRDefault="00853662" w:rsidP="00F749D5">
      <w:pPr>
        <w:rPr>
          <w:sz w:val="20"/>
        </w:rPr>
      </w:pPr>
      <w:r w:rsidRPr="00C84488">
        <w:rPr>
          <w:bCs/>
          <w:sz w:val="20"/>
        </w:rPr>
        <w:t xml:space="preserve">Adult Day Care/Adult Day Health </w:t>
      </w:r>
      <w:r>
        <w:rPr>
          <w:sz w:val="20"/>
        </w:rPr>
        <w:t xml:space="preserve">= </w:t>
      </w:r>
      <w:r w:rsidRPr="00C84488">
        <w:rPr>
          <w:sz w:val="20"/>
        </w:rPr>
        <w:t xml:space="preserve">1 Hour </w:t>
      </w:r>
    </w:p>
    <w:p w:rsidR="00853662" w:rsidRPr="00C84488" w:rsidRDefault="00853662" w:rsidP="00F749D5">
      <w:pPr>
        <w:rPr>
          <w:sz w:val="20"/>
        </w:rPr>
      </w:pPr>
      <w:r w:rsidRPr="00C84488">
        <w:rPr>
          <w:bCs/>
          <w:sz w:val="20"/>
        </w:rPr>
        <w:t xml:space="preserve">Case Management </w:t>
      </w:r>
      <w:r>
        <w:rPr>
          <w:sz w:val="20"/>
        </w:rPr>
        <w:t>=</w:t>
      </w:r>
      <w:r w:rsidRPr="00C84488">
        <w:rPr>
          <w:sz w:val="20"/>
        </w:rPr>
        <w:t xml:space="preserve"> 1 Hour </w:t>
      </w:r>
    </w:p>
    <w:p w:rsidR="00853662" w:rsidRPr="00C84488" w:rsidRDefault="00853662" w:rsidP="00F749D5">
      <w:pPr>
        <w:pStyle w:val="Default"/>
        <w:rPr>
          <w:sz w:val="20"/>
          <w:szCs w:val="20"/>
        </w:rPr>
      </w:pPr>
      <w:r w:rsidRPr="00C84488">
        <w:rPr>
          <w:sz w:val="20"/>
          <w:szCs w:val="20"/>
        </w:rPr>
        <w:t xml:space="preserve">Assisted Transportation </w:t>
      </w:r>
      <w:r>
        <w:rPr>
          <w:sz w:val="20"/>
          <w:szCs w:val="20"/>
        </w:rPr>
        <w:t>=</w:t>
      </w:r>
      <w:r w:rsidRPr="00C84488">
        <w:rPr>
          <w:sz w:val="20"/>
          <w:szCs w:val="20"/>
        </w:rPr>
        <w:t xml:space="preserve"> 1 One Way Trip </w:t>
      </w:r>
    </w:p>
    <w:p w:rsidR="00853662" w:rsidRPr="00C84488" w:rsidRDefault="00853662" w:rsidP="00F749D5">
      <w:pPr>
        <w:pStyle w:val="Default"/>
        <w:rPr>
          <w:sz w:val="20"/>
          <w:szCs w:val="20"/>
        </w:rPr>
      </w:pPr>
      <w:r w:rsidRPr="00C84488">
        <w:rPr>
          <w:sz w:val="20"/>
          <w:szCs w:val="20"/>
        </w:rPr>
        <w:t xml:space="preserve">Congregate Meal </w:t>
      </w:r>
      <w:r>
        <w:rPr>
          <w:sz w:val="20"/>
          <w:szCs w:val="20"/>
        </w:rPr>
        <w:t>=</w:t>
      </w:r>
      <w:r w:rsidRPr="00C84488">
        <w:rPr>
          <w:sz w:val="20"/>
          <w:szCs w:val="20"/>
        </w:rPr>
        <w:t xml:space="preserve"> 1 Meal</w:t>
      </w:r>
    </w:p>
    <w:p w:rsidR="00853662" w:rsidRPr="00C84488" w:rsidRDefault="00853662" w:rsidP="00F749D5">
      <w:pPr>
        <w:rPr>
          <w:sz w:val="20"/>
        </w:rPr>
      </w:pPr>
      <w:r w:rsidRPr="00C84488">
        <w:rPr>
          <w:bCs/>
          <w:sz w:val="20"/>
        </w:rPr>
        <w:t xml:space="preserve">Nutrition Counseling </w:t>
      </w:r>
      <w:r>
        <w:rPr>
          <w:sz w:val="20"/>
        </w:rPr>
        <w:t>=</w:t>
      </w:r>
      <w:r w:rsidRPr="00C84488">
        <w:rPr>
          <w:sz w:val="20"/>
        </w:rPr>
        <w:t xml:space="preserve"> 1 session per participant</w:t>
      </w:r>
    </w:p>
    <w:p w:rsidR="00853662" w:rsidRPr="00C84488" w:rsidRDefault="00853662" w:rsidP="00F749D5">
      <w:pPr>
        <w:pStyle w:val="Default"/>
        <w:rPr>
          <w:bCs/>
          <w:sz w:val="20"/>
          <w:szCs w:val="20"/>
        </w:rPr>
      </w:pPr>
      <w:r w:rsidRPr="00C84488">
        <w:rPr>
          <w:bCs/>
          <w:sz w:val="20"/>
          <w:szCs w:val="20"/>
        </w:rPr>
        <w:t xml:space="preserve">Transportation </w:t>
      </w:r>
      <w:r>
        <w:rPr>
          <w:sz w:val="20"/>
          <w:szCs w:val="20"/>
        </w:rPr>
        <w:t>=</w:t>
      </w:r>
      <w:r w:rsidRPr="00C84488">
        <w:rPr>
          <w:sz w:val="20"/>
          <w:szCs w:val="20"/>
        </w:rPr>
        <w:t xml:space="preserve"> 1 One Way Trip</w:t>
      </w:r>
    </w:p>
    <w:p w:rsidR="00853662" w:rsidRPr="00C84488" w:rsidRDefault="00853662" w:rsidP="00F749D5">
      <w:pPr>
        <w:pStyle w:val="Default"/>
        <w:rPr>
          <w:sz w:val="20"/>
          <w:szCs w:val="20"/>
        </w:rPr>
      </w:pPr>
      <w:r w:rsidRPr="00C84488">
        <w:rPr>
          <w:bCs/>
          <w:sz w:val="20"/>
          <w:szCs w:val="20"/>
        </w:rPr>
        <w:t xml:space="preserve">Legal Assistance </w:t>
      </w:r>
      <w:r>
        <w:rPr>
          <w:sz w:val="20"/>
          <w:szCs w:val="20"/>
        </w:rPr>
        <w:t>=</w:t>
      </w:r>
      <w:r w:rsidRPr="00C84488">
        <w:rPr>
          <w:sz w:val="20"/>
          <w:szCs w:val="20"/>
        </w:rPr>
        <w:t xml:space="preserve"> 1 hour</w:t>
      </w:r>
    </w:p>
    <w:p w:rsidR="00853662" w:rsidRPr="00C84488" w:rsidRDefault="00853662" w:rsidP="00F749D5">
      <w:pPr>
        <w:pStyle w:val="Default"/>
        <w:rPr>
          <w:bCs/>
          <w:sz w:val="20"/>
          <w:szCs w:val="20"/>
        </w:rPr>
      </w:pPr>
      <w:r w:rsidRPr="00C84488">
        <w:rPr>
          <w:bCs/>
          <w:sz w:val="20"/>
          <w:szCs w:val="20"/>
        </w:rPr>
        <w:t xml:space="preserve">Nutrition Education </w:t>
      </w:r>
      <w:r>
        <w:rPr>
          <w:sz w:val="20"/>
          <w:szCs w:val="20"/>
        </w:rPr>
        <w:t>=</w:t>
      </w:r>
      <w:r w:rsidRPr="00C84488">
        <w:rPr>
          <w:sz w:val="20"/>
          <w:szCs w:val="20"/>
        </w:rPr>
        <w:t xml:space="preserve"> 1 session per participant</w:t>
      </w:r>
    </w:p>
    <w:p w:rsidR="00853662" w:rsidRPr="00C84488" w:rsidRDefault="00853662" w:rsidP="00F749D5">
      <w:pPr>
        <w:pStyle w:val="Default"/>
        <w:rPr>
          <w:sz w:val="20"/>
          <w:szCs w:val="20"/>
        </w:rPr>
      </w:pPr>
      <w:r w:rsidRPr="00C84488">
        <w:rPr>
          <w:sz w:val="20"/>
          <w:szCs w:val="20"/>
        </w:rPr>
        <w:t xml:space="preserve">Information and Assistance </w:t>
      </w:r>
      <w:r>
        <w:rPr>
          <w:sz w:val="20"/>
          <w:szCs w:val="20"/>
        </w:rPr>
        <w:t>=</w:t>
      </w:r>
      <w:r w:rsidRPr="00C84488">
        <w:rPr>
          <w:sz w:val="20"/>
          <w:szCs w:val="20"/>
        </w:rPr>
        <w:t xml:space="preserve"> 1 Contact</w:t>
      </w:r>
    </w:p>
    <w:p w:rsidR="00853662" w:rsidRDefault="00853662" w:rsidP="00F749D5">
      <w:pPr>
        <w:pStyle w:val="FootnoteText"/>
      </w:pPr>
    </w:p>
  </w:footnote>
  <w:footnote w:id="11">
    <w:p w:rsidR="00853662" w:rsidRDefault="00853662" w:rsidP="00F749D5">
      <w:pPr>
        <w:pStyle w:val="Default"/>
        <w:rPr>
          <w:bCs/>
          <w:sz w:val="20"/>
          <w:szCs w:val="20"/>
        </w:rPr>
      </w:pPr>
      <w:r>
        <w:rPr>
          <w:rStyle w:val="FootnoteReference"/>
        </w:rPr>
        <w:footnoteRef/>
      </w:r>
      <w:r>
        <w:t xml:space="preserve"> </w:t>
      </w:r>
      <w:r>
        <w:rPr>
          <w:bCs/>
          <w:sz w:val="20"/>
          <w:szCs w:val="20"/>
        </w:rPr>
        <w:t>Title III-E service units definition:</w:t>
      </w:r>
    </w:p>
    <w:p w:rsidR="00853662" w:rsidRPr="00C84488" w:rsidRDefault="00853662" w:rsidP="00F749D5">
      <w:pPr>
        <w:pStyle w:val="Default"/>
        <w:rPr>
          <w:bCs/>
          <w:sz w:val="20"/>
          <w:szCs w:val="20"/>
        </w:rPr>
      </w:pPr>
      <w:r w:rsidRPr="00C84488">
        <w:rPr>
          <w:bCs/>
          <w:sz w:val="20"/>
          <w:szCs w:val="20"/>
        </w:rPr>
        <w:t xml:space="preserve">Counseling </w:t>
      </w:r>
      <w:r>
        <w:rPr>
          <w:sz w:val="20"/>
          <w:szCs w:val="20"/>
        </w:rPr>
        <w:t>=</w:t>
      </w:r>
      <w:r w:rsidRPr="00C84488">
        <w:rPr>
          <w:sz w:val="20"/>
          <w:szCs w:val="20"/>
        </w:rPr>
        <w:t xml:space="preserve"> 1 session per participant</w:t>
      </w:r>
    </w:p>
    <w:p w:rsidR="00853662" w:rsidRPr="00C84488" w:rsidRDefault="00853662" w:rsidP="00F749D5">
      <w:pPr>
        <w:rPr>
          <w:bCs/>
          <w:sz w:val="20"/>
        </w:rPr>
      </w:pPr>
      <w:r w:rsidRPr="00C84488">
        <w:rPr>
          <w:bCs/>
          <w:sz w:val="20"/>
        </w:rPr>
        <w:t xml:space="preserve">Respite Care </w:t>
      </w:r>
      <w:r>
        <w:rPr>
          <w:sz w:val="20"/>
        </w:rPr>
        <w:t>=</w:t>
      </w:r>
      <w:r w:rsidRPr="00C84488">
        <w:rPr>
          <w:sz w:val="20"/>
        </w:rPr>
        <w:t xml:space="preserve"> 1 hour</w:t>
      </w:r>
    </w:p>
    <w:p w:rsidR="00853662" w:rsidRPr="00C84488" w:rsidRDefault="00853662" w:rsidP="00F749D5">
      <w:pPr>
        <w:rPr>
          <w:bCs/>
          <w:sz w:val="20"/>
        </w:rPr>
      </w:pPr>
      <w:r w:rsidRPr="00C84488">
        <w:rPr>
          <w:bCs/>
          <w:sz w:val="20"/>
        </w:rPr>
        <w:t xml:space="preserve">Supplemental services </w:t>
      </w:r>
      <w:r>
        <w:rPr>
          <w:sz w:val="20"/>
        </w:rPr>
        <w:t>=</w:t>
      </w:r>
      <w:r w:rsidRPr="00C84488">
        <w:rPr>
          <w:sz w:val="20"/>
        </w:rPr>
        <w:t xml:space="preserve"> variable</w:t>
      </w:r>
    </w:p>
    <w:p w:rsidR="00853662" w:rsidRDefault="00853662" w:rsidP="00F749D5">
      <w:pPr>
        <w:rPr>
          <w:sz w:val="20"/>
        </w:rPr>
      </w:pPr>
      <w:r w:rsidRPr="00C84488">
        <w:rPr>
          <w:bCs/>
          <w:sz w:val="20"/>
        </w:rPr>
        <w:t xml:space="preserve">Access Assistance </w:t>
      </w:r>
      <w:r>
        <w:rPr>
          <w:sz w:val="20"/>
        </w:rPr>
        <w:t>=</w:t>
      </w:r>
      <w:r w:rsidRPr="00C84488">
        <w:rPr>
          <w:sz w:val="20"/>
        </w:rPr>
        <w:t xml:space="preserve"> 1 contact</w:t>
      </w:r>
    </w:p>
    <w:p w:rsidR="00853662" w:rsidRDefault="00853662" w:rsidP="00F749D5">
      <w:pPr>
        <w:rPr>
          <w:sz w:val="20"/>
        </w:rPr>
      </w:pPr>
      <w:r>
        <w:rPr>
          <w:sz w:val="20"/>
        </w:rPr>
        <w:t>Self-Directed = variable</w:t>
      </w:r>
    </w:p>
    <w:p w:rsidR="00853662" w:rsidRPr="00C84488" w:rsidRDefault="00853662" w:rsidP="00F749D5">
      <w:pPr>
        <w:rPr>
          <w:bCs/>
          <w:sz w:val="20"/>
        </w:rPr>
      </w:pPr>
      <w:r>
        <w:rPr>
          <w:sz w:val="20"/>
        </w:rPr>
        <w:t>Information Services = 1 activity</w:t>
      </w:r>
    </w:p>
    <w:p w:rsidR="00853662" w:rsidRDefault="00853662" w:rsidP="00F749D5">
      <w:pPr>
        <w:pStyle w:val="FootnoteText"/>
      </w:pPr>
    </w:p>
  </w:footnote>
  <w:footnote w:id="12">
    <w:p w:rsidR="00853662" w:rsidRDefault="00853662" w:rsidP="00487731">
      <w:pPr>
        <w:pStyle w:val="FootnoteText"/>
      </w:pPr>
      <w:r w:rsidRPr="00487731">
        <w:rPr>
          <w:sz w:val="16"/>
          <w:szCs w:val="16"/>
        </w:rPr>
        <w:t>12</w:t>
      </w:r>
      <w:r>
        <w:t xml:space="preserve"> </w:t>
      </w:r>
      <w:r w:rsidRPr="009D3791">
        <w:t>Arias E. United States life tables, 2011. National vital statistics reports; vol 64 no 11. Hyattsville, MD: National Center for Health Statistics. 2015. Accessed at https://www.cdc.gov/nchs/data/nvsr/nvsr64/nvsr64_11.pdf</w:t>
      </w:r>
      <w:r>
        <w:t>.</w:t>
      </w:r>
    </w:p>
  </w:footnote>
  <w:footnote w:id="13">
    <w:p w:rsidR="00853662" w:rsidRDefault="00853662">
      <w:pPr>
        <w:pStyle w:val="FootnoteText"/>
      </w:pPr>
      <w:r>
        <w:rPr>
          <w:rStyle w:val="FootnoteReference"/>
        </w:rPr>
        <w:footnoteRef/>
      </w:r>
      <w:r>
        <w:t xml:space="preserve"> </w:t>
      </w:r>
      <w:r w:rsidRPr="009D3791">
        <w:t xml:space="preserve">Xu JQ, Murphy SL, Kochanek KD, Arias E. </w:t>
      </w:r>
      <w:hyperlink r:id="rId3" w:history="1">
        <w:r w:rsidRPr="002175EF">
          <w:rPr>
            <w:rStyle w:val="Hyperlink"/>
          </w:rPr>
          <w:t xml:space="preserve">Mortality in </w:t>
        </w:r>
        <w:r w:rsidRPr="002175EF">
          <w:rPr>
            <w:rStyle w:val="Hyperlink"/>
            <w:sz w:val="16"/>
            <w:szCs w:val="16"/>
          </w:rPr>
          <w:t>the</w:t>
        </w:r>
        <w:r w:rsidRPr="002175EF">
          <w:rPr>
            <w:rStyle w:val="Hyperlink"/>
          </w:rPr>
          <w:t xml:space="preserve"> United States, 2015. NCHS data brief, no 267</w:t>
        </w:r>
      </w:hyperlink>
      <w:r w:rsidRPr="009D3791">
        <w:t xml:space="preserve">. </w:t>
      </w:r>
    </w:p>
    <w:p w:rsidR="00853662" w:rsidRDefault="00853662" w:rsidP="009D3791">
      <w:pPr>
        <w:pStyle w:val="FootnoteText"/>
      </w:pPr>
      <w:r>
        <w:t xml:space="preserve">    </w:t>
      </w:r>
      <w:r w:rsidRPr="009D3791">
        <w:t>Hyattsville, MD: National Cent</w:t>
      </w:r>
      <w:r w:rsidR="002175EF">
        <w:t>er for Health Statistics. 2016.</w:t>
      </w:r>
    </w:p>
  </w:footnote>
  <w:footnote w:id="14">
    <w:p w:rsidR="00853662" w:rsidRDefault="00853662" w:rsidP="0080153B">
      <w:r>
        <w:rPr>
          <w:rStyle w:val="FootnoteReference"/>
        </w:rPr>
        <w:footnoteRef/>
      </w:r>
      <w:r>
        <w:t xml:space="preserve">  </w:t>
      </w:r>
      <w:r w:rsidR="0080153B" w:rsidRPr="0080153B">
        <w:rPr>
          <w:sz w:val="20"/>
          <w:szCs w:val="20"/>
        </w:rPr>
        <w:t xml:space="preserve">Centers for Medicare &amp; Medicaid Services. </w:t>
      </w:r>
      <w:hyperlink r:id="rId4" w:history="1">
        <w:r w:rsidR="0080153B" w:rsidRPr="0080153B">
          <w:rPr>
            <w:rStyle w:val="Hyperlink"/>
            <w:sz w:val="20"/>
            <w:szCs w:val="20"/>
          </w:rPr>
          <w:t>Chronic Conditions among Medicare Beneficiaries</w:t>
        </w:r>
      </w:hyperlink>
      <w:r w:rsidR="0080153B" w:rsidRPr="0080153B">
        <w:rPr>
          <w:sz w:val="20"/>
          <w:szCs w:val="20"/>
        </w:rPr>
        <w:t xml:space="preserve">, </w:t>
      </w:r>
      <w:r w:rsidR="0080153B">
        <w:rPr>
          <w:sz w:val="20"/>
          <w:szCs w:val="20"/>
        </w:rPr>
        <w:t>Chart Book. Baltimore, MD. 2012</w:t>
      </w:r>
      <w:r w:rsidR="0080153B" w:rsidRPr="0080153B">
        <w:rPr>
          <w:sz w:val="20"/>
          <w:szCs w:val="20"/>
        </w:rPr>
        <w:t>.</w:t>
      </w:r>
    </w:p>
  </w:footnote>
  <w:footnote w:id="15">
    <w:p w:rsidR="00923CD1" w:rsidRDefault="00923CD1" w:rsidP="00244075">
      <w:pPr>
        <w:pStyle w:val="FootnoteText"/>
      </w:pPr>
      <w:r>
        <w:rPr>
          <w:rStyle w:val="FootnoteReference"/>
        </w:rPr>
        <w:footnoteRef/>
      </w:r>
      <w:r>
        <w:t xml:space="preserve"> </w:t>
      </w:r>
      <w:r w:rsidR="00244075">
        <w:t xml:space="preserve">Centers for Medicare &amp; Medicaid Services. </w:t>
      </w:r>
      <w:hyperlink r:id="rId5" w:history="1">
        <w:r w:rsidR="00244075" w:rsidRPr="00244075">
          <w:rPr>
            <w:rStyle w:val="Hyperlink"/>
          </w:rPr>
          <w:t>State Level Multiple Chronic Conditions (MCC) Table</w:t>
        </w:r>
      </w:hyperlink>
      <w:r w:rsidR="00244075">
        <w:t xml:space="preserve">: Prevalence, Medicare Utilization and Spending. 2014. </w:t>
      </w:r>
    </w:p>
  </w:footnote>
  <w:footnote w:id="16">
    <w:p w:rsidR="00853662" w:rsidRDefault="00853662">
      <w:pPr>
        <w:pStyle w:val="FootnoteText"/>
      </w:pPr>
      <w:r>
        <w:rPr>
          <w:rStyle w:val="FootnoteReference"/>
        </w:rPr>
        <w:footnoteRef/>
      </w:r>
      <w:r>
        <w:t xml:space="preserve"> </w:t>
      </w:r>
      <w:r w:rsidR="00923CD1">
        <w:t>Ibid.</w:t>
      </w:r>
    </w:p>
  </w:footnote>
  <w:footnote w:id="17">
    <w:p w:rsidR="00853662" w:rsidRPr="00155D0B" w:rsidRDefault="00853662" w:rsidP="002F423E">
      <w:pPr>
        <w:ind w:left="270" w:hanging="270"/>
        <w:jc w:val="both"/>
      </w:pPr>
      <w:r w:rsidRPr="00155D0B">
        <w:rPr>
          <w:rStyle w:val="FootnoteReference"/>
        </w:rPr>
        <w:footnoteRef/>
      </w:r>
      <w:r>
        <w:rPr>
          <w:rStyle w:val="FootnoteTextChar"/>
        </w:rPr>
        <w:t xml:space="preserve"> 2015</w:t>
      </w:r>
      <w:r w:rsidRPr="00155D0B">
        <w:rPr>
          <w:rStyle w:val="FootnoteTextChar"/>
        </w:rPr>
        <w:t xml:space="preserve"> National Survey of Old</w:t>
      </w:r>
      <w:r w:rsidR="00183EF5">
        <w:rPr>
          <w:rStyle w:val="FootnoteTextChar"/>
        </w:rPr>
        <w:t xml:space="preserve">er Americans Act Participants. </w:t>
      </w:r>
      <w:hyperlink r:id="rId6" w:history="1">
        <w:r w:rsidR="00D65A85">
          <w:rPr>
            <w:rStyle w:val="Hyperlink"/>
            <w:sz w:val="20"/>
            <w:szCs w:val="20"/>
          </w:rPr>
          <w:t>AoA: AGing Integrated Database</w:t>
        </w:r>
      </w:hyperlink>
      <w:r w:rsidRPr="00155D0B">
        <w:rPr>
          <w:rStyle w:val="FootnoteTextChar"/>
        </w:rPr>
        <w:t>.</w:t>
      </w:r>
    </w:p>
  </w:footnote>
  <w:footnote w:id="18">
    <w:p w:rsidR="00853662" w:rsidRPr="00155D0B" w:rsidRDefault="00853662" w:rsidP="00CE5F52">
      <w:pPr>
        <w:pStyle w:val="FootnoteText"/>
        <w:ind w:left="270" w:hanging="270"/>
      </w:pPr>
      <w:r w:rsidRPr="00155D0B">
        <w:rPr>
          <w:rStyle w:val="FootnoteReference"/>
        </w:rPr>
        <w:footnoteRef/>
      </w:r>
      <w:r>
        <w:t xml:space="preserve">  U.S. Census Bureau. Population Division. Annual Estimates of the Resident Population for Selected Age Groups by Sex for the United States, States, Counties, and Puerto Rico Commonwealth and Municipios: April 1, 2010 to July 1, 2015. Release Date: June 2016. Accessed November 2016. U.S. Census Bureau. Population Division. </w:t>
      </w:r>
      <w:r w:rsidRPr="00F27520">
        <w:t>Table 9. Projections of the Population by Sex and Age for the United States: 2015 to 2060 (NP2014-T9)</w:t>
      </w:r>
      <w:r>
        <w:t xml:space="preserve">. Release Date: December 2014. Accessed November 2016. </w:t>
      </w:r>
    </w:p>
  </w:footnote>
  <w:footnote w:id="19">
    <w:p w:rsidR="00853662" w:rsidRPr="00533B69" w:rsidRDefault="00853662" w:rsidP="002F423E">
      <w:pPr>
        <w:pStyle w:val="FootnoteText"/>
        <w:ind w:left="270" w:hanging="270"/>
        <w:rPr>
          <w:sz w:val="18"/>
        </w:rPr>
      </w:pPr>
      <w:r w:rsidRPr="00533B69">
        <w:rPr>
          <w:rStyle w:val="FootnoteReference"/>
          <w:sz w:val="18"/>
        </w:rPr>
        <w:footnoteRef/>
      </w:r>
      <w:r w:rsidRPr="00533B69">
        <w:rPr>
          <w:sz w:val="18"/>
        </w:rPr>
        <w:t xml:space="preserve"> </w:t>
      </w:r>
      <w:r>
        <w:rPr>
          <w:sz w:val="18"/>
        </w:rPr>
        <w:t xml:space="preserve">  </w:t>
      </w:r>
      <w:r>
        <w:t>Ibid and Centers for Medicare &amp; Medicaid Services, The characteristics and perceptions of the Medicare population. Data from the 2013 Medicare Current Beneficiary Survey. [data tables 2.5a and 2.6a]. http://www.cms.gov/Research-Statistics-Data-and-Systems/Research/MCBS/Data-Tables-Items/2013CNP.html Accessed 08 November, 2016</w:t>
      </w:r>
      <w:r w:rsidRPr="00533B69">
        <w:t>.</w:t>
      </w:r>
    </w:p>
  </w:footnote>
  <w:footnote w:id="20">
    <w:p w:rsidR="00853662" w:rsidRDefault="00853662" w:rsidP="00B71114">
      <w:pPr>
        <w:pStyle w:val="FootnoteText"/>
        <w:ind w:left="360" w:hanging="360"/>
      </w:pPr>
      <w:r>
        <w:rPr>
          <w:rStyle w:val="FootnoteReference"/>
        </w:rPr>
        <w:footnoteRef/>
      </w:r>
      <w:r>
        <w:t xml:space="preserve">  AoA’s FY 2015 State Program Report.</w:t>
      </w:r>
      <w:r w:rsidRPr="008C67DE">
        <w:t xml:space="preserve"> </w:t>
      </w:r>
      <w:r w:rsidRPr="00BD7EBC">
        <w:t>These data are preliminary and should not be taken as final</w:t>
      </w:r>
      <w:r>
        <w:t>.</w:t>
      </w:r>
    </w:p>
  </w:footnote>
  <w:footnote w:id="21">
    <w:p w:rsidR="00853662" w:rsidRDefault="00853662" w:rsidP="002C22D7">
      <w:pPr>
        <w:pStyle w:val="FootnoteText"/>
      </w:pPr>
      <w:r>
        <w:rPr>
          <w:rStyle w:val="FootnoteReference"/>
        </w:rPr>
        <w:footnoteRef/>
      </w:r>
      <w:r>
        <w:t xml:space="preserve">  Ibid.</w:t>
      </w:r>
    </w:p>
  </w:footnote>
  <w:footnote w:id="22">
    <w:p w:rsidR="00853662" w:rsidRDefault="00853662" w:rsidP="002F423E">
      <w:pPr>
        <w:pStyle w:val="FootnoteText"/>
        <w:ind w:left="270" w:hanging="270"/>
      </w:pPr>
      <w:r>
        <w:rPr>
          <w:rStyle w:val="FootnoteReference"/>
        </w:rPr>
        <w:footnoteRef/>
      </w:r>
      <w:r>
        <w:t xml:space="preserve">  Brock, D et al. “Risk Factors for Nursing Home Placement Among OAA Service Recipients: Summary Analysis from Five Data Sources” Westat; U.S. Administration on Aging Contract No. 233-02-0087. </w:t>
      </w:r>
      <w:r w:rsidRPr="00BD0B98">
        <w:t>http://www.aoa.gov/AoARoot/Program_Results/POMP/docs/Risk_Factors.pdf</w:t>
      </w:r>
    </w:p>
  </w:footnote>
  <w:footnote w:id="23">
    <w:p w:rsidR="00853662" w:rsidRPr="002F423E" w:rsidRDefault="00853662" w:rsidP="002F423E">
      <w:pPr>
        <w:ind w:left="270" w:hanging="270"/>
        <w:rPr>
          <w:sz w:val="20"/>
          <w:szCs w:val="20"/>
        </w:rPr>
      </w:pPr>
      <w:r>
        <w:rPr>
          <w:rStyle w:val="FootnoteReference"/>
        </w:rPr>
        <w:footnoteRef/>
      </w:r>
      <w:r>
        <w:rPr>
          <w:sz w:val="20"/>
          <w:szCs w:val="20"/>
        </w:rPr>
        <w:t xml:space="preserve">  </w:t>
      </w:r>
      <w:r w:rsidRPr="00D73E8A">
        <w:rPr>
          <w:sz w:val="20"/>
          <w:szCs w:val="20"/>
        </w:rPr>
        <w:t>Centers for Medicare &amp; Medicaid Services, The characteristics and perceptions of the Medicare population. Data from the 2013 Medicare Current Beneficiary Survey. [data tables 2.5a and 2.6a]. http://www.cms.gov/ResearchStatistics-Data-and-Systems/Research/MCBS/Data-Tables-Items/2013CNP</w:t>
      </w:r>
      <w:r>
        <w:rPr>
          <w:sz w:val="20"/>
          <w:szCs w:val="20"/>
        </w:rPr>
        <w:t>.html. Accessed 10 January 2016.</w:t>
      </w:r>
    </w:p>
  </w:footnote>
  <w:footnote w:id="24">
    <w:p w:rsidR="00853662" w:rsidRPr="00155D0B" w:rsidRDefault="00853662" w:rsidP="002F423E">
      <w:pPr>
        <w:ind w:left="270" w:hanging="270"/>
        <w:rPr>
          <w:sz w:val="20"/>
          <w:szCs w:val="20"/>
        </w:rPr>
      </w:pPr>
      <w:r w:rsidRPr="00155D0B">
        <w:rPr>
          <w:rStyle w:val="FootnoteReference"/>
        </w:rPr>
        <w:footnoteRef/>
      </w:r>
      <w:r>
        <w:rPr>
          <w:sz w:val="20"/>
          <w:szCs w:val="20"/>
        </w:rPr>
        <w:t xml:space="preserve">  Ibid</w:t>
      </w:r>
      <w:r w:rsidRPr="00155D0B">
        <w:rPr>
          <w:sz w:val="20"/>
          <w:szCs w:val="20"/>
        </w:rPr>
        <w:t>.</w:t>
      </w:r>
    </w:p>
  </w:footnote>
  <w:footnote w:id="25">
    <w:p w:rsidR="00853662" w:rsidRDefault="00853662" w:rsidP="002F423E">
      <w:pPr>
        <w:pStyle w:val="FootnoteText"/>
        <w:ind w:left="270" w:hanging="270"/>
      </w:pPr>
      <w:r w:rsidRPr="00155D0B">
        <w:rPr>
          <w:rStyle w:val="FootnoteReference"/>
        </w:rPr>
        <w:footnoteRef/>
      </w:r>
      <w:r>
        <w:t xml:space="preserve">   AoA’s FY 2015 State Program Report.</w:t>
      </w:r>
      <w:r w:rsidRPr="008C67DE">
        <w:t xml:space="preserve"> </w:t>
      </w:r>
      <w:r w:rsidRPr="00BD7EBC">
        <w:t>These data are preliminary and should not be taken as final</w:t>
      </w:r>
    </w:p>
  </w:footnote>
  <w:footnote w:id="26">
    <w:p w:rsidR="00853662" w:rsidRDefault="00853662" w:rsidP="002F423E">
      <w:pPr>
        <w:ind w:left="270" w:hanging="270"/>
        <w:jc w:val="both"/>
      </w:pPr>
      <w:r>
        <w:rPr>
          <w:rStyle w:val="FootnoteReference"/>
        </w:rPr>
        <w:footnoteRef/>
      </w:r>
      <w:r>
        <w:t xml:space="preserve"> </w:t>
      </w:r>
      <w:r>
        <w:rPr>
          <w:rStyle w:val="FootnoteTextChar"/>
        </w:rPr>
        <w:t>2015</w:t>
      </w:r>
      <w:r w:rsidRPr="00155D0B">
        <w:rPr>
          <w:rStyle w:val="FootnoteTextChar"/>
        </w:rPr>
        <w:t xml:space="preserve"> National Survey of Older Americans Act Participants.  </w:t>
      </w:r>
      <w:hyperlink r:id="rId7" w:history="1">
        <w:r w:rsidR="00D65A85">
          <w:rPr>
            <w:rStyle w:val="Hyperlink"/>
            <w:sz w:val="20"/>
            <w:szCs w:val="20"/>
          </w:rPr>
          <w:t>AoA: AGing Integrated Database</w:t>
        </w:r>
      </w:hyperlink>
      <w:r w:rsidRPr="00155D0B">
        <w:rPr>
          <w:rStyle w:val="FootnoteTextChar"/>
        </w:rPr>
        <w:t>.</w:t>
      </w:r>
    </w:p>
  </w:footnote>
  <w:footnote w:id="27">
    <w:p w:rsidR="00853662" w:rsidRDefault="00853662">
      <w:pPr>
        <w:pStyle w:val="FootnoteText"/>
      </w:pPr>
      <w:r>
        <w:rPr>
          <w:rStyle w:val="FootnoteReference"/>
        </w:rPr>
        <w:footnoteRef/>
      </w:r>
      <w:r>
        <w:t xml:space="preserve"> Ibid</w:t>
      </w:r>
    </w:p>
  </w:footnote>
  <w:footnote w:id="28">
    <w:p w:rsidR="00853662" w:rsidRPr="00155D0B" w:rsidRDefault="00853662" w:rsidP="002834FD">
      <w:pPr>
        <w:pStyle w:val="FootnoteText"/>
      </w:pPr>
      <w:r w:rsidRPr="00155D0B">
        <w:rPr>
          <w:rStyle w:val="FootnoteReference"/>
        </w:rPr>
        <w:footnoteRef/>
      </w:r>
      <w:r>
        <w:t xml:space="preserve"> Ibid</w:t>
      </w:r>
      <w:r w:rsidRPr="00155D0B">
        <w:t>,</w:t>
      </w:r>
    </w:p>
  </w:footnote>
  <w:footnote w:id="29">
    <w:p w:rsidR="00853662" w:rsidRDefault="00853662">
      <w:pPr>
        <w:pStyle w:val="FootnoteText"/>
      </w:pPr>
      <w:r>
        <w:rPr>
          <w:rStyle w:val="FootnoteReference"/>
        </w:rPr>
        <w:footnoteRef/>
      </w:r>
      <w:r>
        <w:t xml:space="preserve"> Ibid.</w:t>
      </w:r>
    </w:p>
  </w:footnote>
  <w:footnote w:id="30">
    <w:p w:rsidR="00853662" w:rsidRPr="00155D0B" w:rsidRDefault="00853662" w:rsidP="002834FD">
      <w:pPr>
        <w:ind w:left="144" w:hanging="144"/>
        <w:rPr>
          <w:sz w:val="20"/>
          <w:szCs w:val="20"/>
        </w:rPr>
      </w:pPr>
      <w:r w:rsidRPr="00155D0B">
        <w:rPr>
          <w:rStyle w:val="FootnoteReference"/>
        </w:rPr>
        <w:footnoteRef/>
      </w:r>
      <w:r w:rsidRPr="00155D0B">
        <w:rPr>
          <w:rStyle w:val="FootnoteTextChar"/>
        </w:rPr>
        <w:t>Ibid.</w:t>
      </w:r>
      <w:r w:rsidRPr="00155D0B">
        <w:rPr>
          <w:sz w:val="20"/>
          <w:szCs w:val="20"/>
        </w:rPr>
        <w:t xml:space="preserve"> </w:t>
      </w:r>
    </w:p>
  </w:footnote>
  <w:footnote w:id="31">
    <w:p w:rsidR="00853662" w:rsidRPr="00155D0B" w:rsidRDefault="00853662" w:rsidP="003D1F5B">
      <w:pPr>
        <w:pStyle w:val="FootnoteText"/>
        <w:ind w:left="180" w:hanging="180"/>
        <w:jc w:val="both"/>
      </w:pPr>
      <w:r w:rsidRPr="00155D0B">
        <w:rPr>
          <w:rStyle w:val="FootnoteReference"/>
        </w:rPr>
        <w:footnoteRef/>
      </w:r>
      <w:r w:rsidRPr="00155D0B">
        <w:t xml:space="preserve"> Chen, Ya Mei and Elaine Adams Thompson.  </w:t>
      </w:r>
      <w:r w:rsidRPr="00155D0B">
        <w:rPr>
          <w:bCs/>
        </w:rPr>
        <w:t xml:space="preserve">Understanding Factors That Influence Success of Home- and Community-Based Services in Keeping Older Adults in Community Settings.  2010.  Journal of Aging and Health.  V. 22: 267.  Available: </w:t>
      </w:r>
      <w:r w:rsidRPr="00155D0B">
        <w:t>http://jah.sagepub.com/cgi/content/abstract/22/3/267</w:t>
      </w:r>
      <w:r w:rsidRPr="00155D0B">
        <w:rPr>
          <w:color w:val="0000FF"/>
        </w:rPr>
        <w:t>.</w:t>
      </w:r>
    </w:p>
  </w:footnote>
  <w:footnote w:id="32">
    <w:p w:rsidR="00853662" w:rsidRPr="00D73E8A" w:rsidRDefault="00853662" w:rsidP="00943E59">
      <w:pPr>
        <w:pStyle w:val="NormalWeb"/>
        <w:shd w:val="clear" w:color="auto" w:fill="FFFFFF"/>
        <w:spacing w:before="0" w:beforeAutospacing="0" w:after="0" w:afterAutospacing="0"/>
        <w:ind w:left="187" w:hanging="187"/>
      </w:pPr>
      <w:r w:rsidRPr="00D73E8A">
        <w:rPr>
          <w:rStyle w:val="FootnoteReference"/>
          <w:sz w:val="20"/>
          <w:szCs w:val="20"/>
        </w:rPr>
        <w:footnoteRef/>
      </w:r>
      <w:r w:rsidRPr="00D73E8A">
        <w:rPr>
          <w:sz w:val="20"/>
          <w:szCs w:val="20"/>
        </w:rPr>
        <w:t xml:space="preserve"> Administration for Community Living, http://www.agid.acl.gov/DataGlance/. Data-at-a-Glance: American Community Survey (ACS) Public Use Microdata Sample (PUMS) 1-Year Files (201</w:t>
      </w:r>
      <w:r>
        <w:rPr>
          <w:sz w:val="20"/>
          <w:szCs w:val="20"/>
        </w:rPr>
        <w:t>4</w:t>
      </w:r>
      <w:r w:rsidRPr="00D73E8A">
        <w:rPr>
          <w:sz w:val="20"/>
          <w:szCs w:val="20"/>
        </w:rPr>
        <w:t xml:space="preserve">), accessed </w:t>
      </w:r>
      <w:r>
        <w:rPr>
          <w:sz w:val="20"/>
          <w:szCs w:val="20"/>
        </w:rPr>
        <w:t xml:space="preserve">November </w:t>
      </w:r>
      <w:r w:rsidRPr="00D73E8A">
        <w:rPr>
          <w:sz w:val="20"/>
          <w:szCs w:val="20"/>
        </w:rPr>
        <w:t>2016.</w:t>
      </w:r>
    </w:p>
  </w:footnote>
  <w:footnote w:id="33">
    <w:p w:rsidR="00853662" w:rsidRDefault="00853662">
      <w:pPr>
        <w:pStyle w:val="FootnoteText"/>
      </w:pPr>
      <w:r>
        <w:rPr>
          <w:rStyle w:val="FootnoteReference"/>
        </w:rPr>
        <w:footnoteRef/>
      </w:r>
      <w:r>
        <w:t xml:space="preserve"> 2015</w:t>
      </w:r>
      <w:r w:rsidRPr="00155D0B">
        <w:t xml:space="preserve"> National Survey of Older Americans Act Participants.  </w:t>
      </w:r>
      <w:hyperlink r:id="rId8" w:history="1">
        <w:r w:rsidR="00D65A85">
          <w:rPr>
            <w:rStyle w:val="Hyperlink"/>
          </w:rPr>
          <w:t>AoA: AGing Integrated Database</w:t>
        </w:r>
      </w:hyperlink>
    </w:p>
  </w:footnote>
  <w:footnote w:id="34">
    <w:p w:rsidR="00853662" w:rsidRDefault="00853662" w:rsidP="003D1F5B">
      <w:pPr>
        <w:pStyle w:val="FootnoteText"/>
        <w:ind w:left="180" w:hanging="180"/>
        <w:jc w:val="both"/>
      </w:pPr>
      <w:r>
        <w:rPr>
          <w:rStyle w:val="FootnoteReference"/>
        </w:rPr>
        <w:footnoteRef/>
      </w:r>
      <w:r>
        <w:t xml:space="preserve"> Muramatsu, Naoko. </w:t>
      </w:r>
      <w:r w:rsidRPr="006D3046">
        <w:t>“Risk of Nursing Home Admission Among Older Americans:  Does States’ Spending on Home and Community-Based Services Matter?” May 2007</w:t>
      </w:r>
      <w:r>
        <w:t>.</w:t>
      </w:r>
      <w:r w:rsidRPr="006D3046">
        <w:t xml:space="preserve"> </w:t>
      </w:r>
      <w:r>
        <w:t xml:space="preserve"> </w:t>
      </w:r>
      <w:r w:rsidRPr="006D3046">
        <w:t>Journal of Gerontology: Psychological Sciences</w:t>
      </w:r>
      <w:r>
        <w:t>.</w:t>
      </w:r>
    </w:p>
  </w:footnote>
  <w:footnote w:id="35">
    <w:p w:rsidR="00853662" w:rsidRDefault="00853662">
      <w:pPr>
        <w:pStyle w:val="FootnoteText"/>
      </w:pPr>
      <w:r>
        <w:rPr>
          <w:rStyle w:val="FootnoteReference"/>
        </w:rPr>
        <w:footnoteRef/>
      </w:r>
      <w:r>
        <w:t xml:space="preserve"> </w:t>
      </w:r>
      <w:hyperlink r:id="rId9" w:history="1">
        <w:r w:rsidR="00D65A85">
          <w:rPr>
            <w:rStyle w:val="Hyperlink"/>
          </w:rPr>
          <w:t>2015-2020 Dietary Guidelines for Americans</w:t>
        </w:r>
      </w:hyperlink>
      <w:r>
        <w:t xml:space="preserve"> and </w:t>
      </w:r>
      <w:hyperlink r:id="rId10" w:history="1">
        <w:r w:rsidR="00D65A85">
          <w:rPr>
            <w:rStyle w:val="Hyperlink"/>
          </w:rPr>
          <w:t>USDA Dietary Reference Intakes</w:t>
        </w:r>
      </w:hyperlink>
      <w:r>
        <w:t xml:space="preserve"> </w:t>
      </w:r>
    </w:p>
  </w:footnote>
  <w:footnote w:id="36">
    <w:p w:rsidR="00853662" w:rsidRDefault="00853662">
      <w:pPr>
        <w:pStyle w:val="FootnoteText"/>
      </w:pPr>
      <w:r>
        <w:rPr>
          <w:rStyle w:val="FootnoteReference"/>
        </w:rPr>
        <w:footnoteRef/>
      </w:r>
      <w:r>
        <w:t xml:space="preserve"> AoA’s FY 2015 State Program Report</w:t>
      </w:r>
      <w:r w:rsidRPr="00155D0B">
        <w:t>.</w:t>
      </w:r>
      <w:r w:rsidRPr="008C67DE">
        <w:t xml:space="preserve"> </w:t>
      </w:r>
      <w:r w:rsidRPr="00BD7EBC">
        <w:t>These data are preliminary and should not be taken as final</w:t>
      </w:r>
    </w:p>
  </w:footnote>
  <w:footnote w:id="37">
    <w:p w:rsidR="000F5321" w:rsidRPr="000F5321" w:rsidRDefault="00853662" w:rsidP="000F5321">
      <w:pPr>
        <w:rPr>
          <w:sz w:val="20"/>
          <w:szCs w:val="20"/>
        </w:rPr>
      </w:pPr>
      <w:r>
        <w:rPr>
          <w:rStyle w:val="FootnoteReference"/>
        </w:rPr>
        <w:footnoteRef/>
      </w:r>
      <w:r>
        <w:t xml:space="preserve"> </w:t>
      </w:r>
      <w:r w:rsidR="000F5321" w:rsidRPr="000F5321">
        <w:rPr>
          <w:sz w:val="20"/>
          <w:szCs w:val="20"/>
        </w:rPr>
        <w:t xml:space="preserve">U.S. Census Bureau, Population Division, </w:t>
      </w:r>
      <w:hyperlink r:id="rId11" w:history="1">
        <w:r w:rsidR="000F5321" w:rsidRPr="000F5321">
          <w:rPr>
            <w:rStyle w:val="Hyperlink"/>
            <w:sz w:val="20"/>
            <w:szCs w:val="20"/>
          </w:rPr>
          <w:t>Annual Estimates of the Resident Population for Selected Age Groups by Sex for the United States, States, Counties and Puerto Rico Commonwealth and Municipios: April 1, 2010 to July 1, 2015</w:t>
        </w:r>
      </w:hyperlink>
      <w:r w:rsidR="000F5321" w:rsidRPr="000F5321">
        <w:rPr>
          <w:sz w:val="20"/>
          <w:szCs w:val="20"/>
        </w:rPr>
        <w:t xml:space="preserve">. Release Date: June 2016. </w:t>
      </w:r>
    </w:p>
    <w:p w:rsidR="00853662" w:rsidRDefault="00853662" w:rsidP="00A931AB">
      <w:pPr>
        <w:pStyle w:val="FootnoteText"/>
        <w:ind w:left="180" w:hanging="180"/>
      </w:pPr>
    </w:p>
  </w:footnote>
  <w:footnote w:id="38">
    <w:p w:rsidR="00853662" w:rsidRDefault="00853662" w:rsidP="005254B6">
      <w:pPr>
        <w:pStyle w:val="FootnoteText"/>
        <w:ind w:left="180" w:hanging="180"/>
      </w:pPr>
      <w:r>
        <w:rPr>
          <w:rStyle w:val="FootnoteReference"/>
        </w:rPr>
        <w:footnoteRef/>
      </w:r>
      <w:r>
        <w:t xml:space="preserve"> 2015 National Survey of Older Americans Act Participants.  </w:t>
      </w:r>
      <w:hyperlink r:id="rId12" w:history="1">
        <w:r w:rsidR="00D65A85">
          <w:rPr>
            <w:rStyle w:val="Hyperlink"/>
          </w:rPr>
          <w:t>AoA: AGing Integrated Database</w:t>
        </w:r>
      </w:hyperlink>
      <w:r w:rsidRPr="000C2425">
        <w:t>.</w:t>
      </w:r>
      <w:r>
        <w:t xml:space="preserve"> and AoA’s FY 2015 State Program Report.</w:t>
      </w:r>
      <w:r w:rsidRPr="008C67DE">
        <w:t xml:space="preserve"> </w:t>
      </w:r>
      <w:r w:rsidRPr="00BD7EBC">
        <w:t>These data are preliminary and should not be taken as final</w:t>
      </w:r>
    </w:p>
  </w:footnote>
  <w:footnote w:id="39">
    <w:p w:rsidR="00853662" w:rsidRDefault="00853662">
      <w:pPr>
        <w:pStyle w:val="FootnoteText"/>
      </w:pPr>
      <w:r>
        <w:rPr>
          <w:rStyle w:val="FootnoteReference"/>
        </w:rPr>
        <w:footnoteRef/>
      </w:r>
      <w:r>
        <w:t xml:space="preserve"> Ibid</w:t>
      </w:r>
      <w:r w:rsidRPr="000C2425">
        <w:t>.</w:t>
      </w:r>
      <w:r>
        <w:t xml:space="preserve"> </w:t>
      </w:r>
    </w:p>
  </w:footnote>
  <w:footnote w:id="40">
    <w:p w:rsidR="00853662" w:rsidRDefault="00853662" w:rsidP="005254B6">
      <w:pPr>
        <w:pStyle w:val="FootnoteText"/>
      </w:pPr>
      <w:r>
        <w:rPr>
          <w:rStyle w:val="FootnoteReference"/>
        </w:rPr>
        <w:footnoteRef/>
      </w:r>
      <w:r>
        <w:t xml:space="preserve"> AoA’s FY 2015 State Program Report.</w:t>
      </w:r>
      <w:r w:rsidRPr="008C67DE">
        <w:t xml:space="preserve"> </w:t>
      </w:r>
      <w:r w:rsidRPr="00BD7EBC">
        <w:t>These data are preliminary and should not be taken as final</w:t>
      </w:r>
    </w:p>
    <w:p w:rsidR="00853662" w:rsidRDefault="00853662">
      <w:pPr>
        <w:pStyle w:val="FootnoteText"/>
      </w:pPr>
    </w:p>
  </w:footnote>
  <w:footnote w:id="41">
    <w:p w:rsidR="00853662" w:rsidRDefault="00853662" w:rsidP="00A931AB">
      <w:pPr>
        <w:pStyle w:val="FootnoteText"/>
        <w:ind w:left="180" w:hanging="180"/>
      </w:pPr>
      <w:r>
        <w:rPr>
          <w:rStyle w:val="FootnoteReference"/>
        </w:rPr>
        <w:footnoteRef/>
      </w:r>
      <w:r>
        <w:t xml:space="preserve"> Administration for Community Living, http://www.agid.acl.gov/DataGlance/. Data-at-a-Glance: American Community Survey (ACS) Public Use Microdata Sample (PUMS) 1-Year Files (2014), accessed November 2016</w:t>
      </w:r>
      <w:r w:rsidRPr="00AC678F">
        <w:t>.</w:t>
      </w:r>
    </w:p>
  </w:footnote>
  <w:footnote w:id="42">
    <w:p w:rsidR="00853662" w:rsidRDefault="00853662">
      <w:pPr>
        <w:pStyle w:val="FootnoteText"/>
      </w:pPr>
      <w:r>
        <w:rPr>
          <w:rStyle w:val="FootnoteReference"/>
        </w:rPr>
        <w:footnoteRef/>
      </w:r>
      <w:r>
        <w:t xml:space="preserve"> AoA’s FY 2015 State Program Report.</w:t>
      </w:r>
      <w:r w:rsidRPr="008C67DE">
        <w:t xml:space="preserve"> </w:t>
      </w:r>
      <w:r w:rsidRPr="00BD7EBC">
        <w:t>These data are preliminary and should not be taken as final</w:t>
      </w:r>
    </w:p>
  </w:footnote>
  <w:footnote w:id="43">
    <w:p w:rsidR="00853662" w:rsidRDefault="00853662">
      <w:pPr>
        <w:pStyle w:val="FootnoteText"/>
      </w:pPr>
      <w:r>
        <w:rPr>
          <w:rStyle w:val="FootnoteReference"/>
        </w:rPr>
        <w:footnoteRef/>
      </w:r>
      <w:r>
        <w:t xml:space="preserve"> 2015 National Survey of Older Americans Act Participants.  </w:t>
      </w:r>
      <w:hyperlink r:id="rId13" w:history="1">
        <w:r w:rsidR="00D65A85">
          <w:rPr>
            <w:rStyle w:val="Hyperlink"/>
          </w:rPr>
          <w:t>AoA: AGing Integrated Database</w:t>
        </w:r>
      </w:hyperlink>
      <w:r>
        <w:t>.</w:t>
      </w:r>
    </w:p>
  </w:footnote>
  <w:footnote w:id="44">
    <w:p w:rsidR="00853662" w:rsidRDefault="00853662" w:rsidP="007B7698">
      <w:pPr>
        <w:pStyle w:val="FootnoteText"/>
        <w:ind w:left="180" w:hanging="180"/>
      </w:pPr>
      <w:r>
        <w:rPr>
          <w:rStyle w:val="FootnoteReference"/>
        </w:rPr>
        <w:footnoteRef/>
      </w:r>
      <w:r>
        <w:t xml:space="preserve"> Thomas, K &amp; Moe, V.  </w:t>
      </w:r>
      <w:hyperlink r:id="rId14" w:history="1">
        <w:r w:rsidRPr="00D37E3F">
          <w:rPr>
            <w:rStyle w:val="Hyperlink"/>
          </w:rPr>
          <w:t>The relationship between Older Americans Act Title III State Expenditures &amp; Prevalence of Low-Care Nursing Home Residents</w:t>
        </w:r>
      </w:hyperlink>
      <w:r>
        <w:t xml:space="preserve">.  Health Services Research.  12.3.12.  </w:t>
      </w:r>
    </w:p>
  </w:footnote>
  <w:footnote w:id="45">
    <w:p w:rsidR="00853662" w:rsidRDefault="00853662">
      <w:pPr>
        <w:pStyle w:val="FootnoteText"/>
      </w:pPr>
      <w:r>
        <w:rPr>
          <w:rStyle w:val="FootnoteReference"/>
        </w:rPr>
        <w:footnoteRef/>
      </w:r>
      <w:r>
        <w:t xml:space="preserve"> Ibid.</w:t>
      </w:r>
    </w:p>
  </w:footnote>
  <w:footnote w:id="46">
    <w:p w:rsidR="00853662" w:rsidRDefault="00853662">
      <w:pPr>
        <w:pStyle w:val="FootnoteText"/>
      </w:pPr>
      <w:r>
        <w:rPr>
          <w:rStyle w:val="FootnoteReference"/>
        </w:rPr>
        <w:footnoteRef/>
      </w:r>
      <w:r>
        <w:t xml:space="preserve"> 2015 National Survey of Older Americans Act Participants.  </w:t>
      </w:r>
      <w:hyperlink r:id="rId15" w:history="1">
        <w:r w:rsidR="00D65A85">
          <w:rPr>
            <w:rStyle w:val="Hyperlink"/>
          </w:rPr>
          <w:t>AoA: AGing Integrated Database</w:t>
        </w:r>
      </w:hyperlink>
      <w:r>
        <w:t>.</w:t>
      </w:r>
    </w:p>
  </w:footnote>
  <w:footnote w:id="47">
    <w:p w:rsidR="00853662" w:rsidRDefault="00853662">
      <w:pPr>
        <w:pStyle w:val="FootnoteText"/>
      </w:pPr>
      <w:r>
        <w:rPr>
          <w:rStyle w:val="FootnoteReference"/>
        </w:rPr>
        <w:footnoteRef/>
      </w:r>
      <w:r>
        <w:t xml:space="preserve"> AoA’s FY 2015 State Program Report.</w:t>
      </w:r>
      <w:r w:rsidRPr="008C67DE">
        <w:t xml:space="preserve"> </w:t>
      </w:r>
      <w:r w:rsidRPr="00BD7EBC">
        <w:t>These data are preliminary and should not be taken as final</w:t>
      </w:r>
    </w:p>
  </w:footnote>
  <w:footnote w:id="48">
    <w:p w:rsidR="00853662" w:rsidRDefault="00853662">
      <w:pPr>
        <w:pStyle w:val="FootnoteText"/>
      </w:pPr>
      <w:r>
        <w:rPr>
          <w:rStyle w:val="FootnoteReference"/>
        </w:rPr>
        <w:footnoteRef/>
      </w:r>
      <w:r>
        <w:t xml:space="preserve"> Ibid.</w:t>
      </w:r>
    </w:p>
  </w:footnote>
  <w:footnote w:id="49">
    <w:p w:rsidR="00853662" w:rsidRDefault="00853662">
      <w:pPr>
        <w:pStyle w:val="FootnoteText"/>
      </w:pPr>
      <w:r>
        <w:rPr>
          <w:rStyle w:val="FootnoteReference"/>
        </w:rPr>
        <w:footnoteRef/>
      </w:r>
      <w:r>
        <w:t xml:space="preserve"> 2015 National Survey of Older Americans Act Participants.  </w:t>
      </w:r>
      <w:hyperlink r:id="rId16" w:history="1">
        <w:r w:rsidR="00D65A85">
          <w:rPr>
            <w:rStyle w:val="Hyperlink"/>
          </w:rPr>
          <w:t>AoA: AGing Integrated Database</w:t>
        </w:r>
      </w:hyperlink>
      <w:r>
        <w:t>.</w:t>
      </w:r>
    </w:p>
  </w:footnote>
  <w:footnote w:id="50">
    <w:p w:rsidR="00853662" w:rsidRDefault="00853662">
      <w:pPr>
        <w:pStyle w:val="FootnoteText"/>
      </w:pPr>
      <w:r>
        <w:rPr>
          <w:rStyle w:val="FootnoteReference"/>
        </w:rPr>
        <w:footnoteRef/>
      </w:r>
      <w:r>
        <w:t xml:space="preserve"> Ibid. </w:t>
      </w:r>
    </w:p>
  </w:footnote>
  <w:footnote w:id="51">
    <w:p w:rsidR="00853662" w:rsidRDefault="00853662">
      <w:pPr>
        <w:pStyle w:val="FootnoteText"/>
      </w:pPr>
      <w:r>
        <w:rPr>
          <w:rStyle w:val="FootnoteReference"/>
        </w:rPr>
        <w:footnoteRef/>
      </w:r>
      <w:r>
        <w:t xml:space="preserve"> AoA’s FY 2015 State Program Report.</w:t>
      </w:r>
      <w:r w:rsidRPr="008C67DE">
        <w:t xml:space="preserve"> </w:t>
      </w:r>
      <w:r w:rsidRPr="00BD7EBC">
        <w:t>These data are preliminary and should not be taken as final</w:t>
      </w:r>
    </w:p>
  </w:footnote>
  <w:footnote w:id="52">
    <w:p w:rsidR="00853662" w:rsidRPr="00726C1B" w:rsidRDefault="00853662" w:rsidP="002F423E">
      <w:pPr>
        <w:ind w:left="180" w:hanging="180"/>
        <w:rPr>
          <w:sz w:val="20"/>
          <w:szCs w:val="20"/>
        </w:rPr>
      </w:pPr>
      <w:r w:rsidRPr="00726C1B">
        <w:rPr>
          <w:rStyle w:val="FootnoteReference"/>
        </w:rPr>
        <w:footnoteRef/>
      </w:r>
      <w:r w:rsidRPr="00726C1B">
        <w:t xml:space="preserve"> </w:t>
      </w:r>
      <w:r w:rsidRPr="00726C1B">
        <w:rPr>
          <w:sz w:val="20"/>
          <w:szCs w:val="20"/>
        </w:rPr>
        <w:t>National Center for Health Statistics.</w:t>
      </w:r>
      <w:r>
        <w:rPr>
          <w:sz w:val="20"/>
          <w:szCs w:val="20"/>
        </w:rPr>
        <w:t xml:space="preserve"> </w:t>
      </w:r>
      <w:hyperlink r:id="rId17" w:history="1">
        <w:r w:rsidRPr="00E426CB">
          <w:rPr>
            <w:rStyle w:val="Hyperlink"/>
            <w:sz w:val="20"/>
            <w:szCs w:val="20"/>
          </w:rPr>
          <w:t>Health, United States, 2015</w:t>
        </w:r>
      </w:hyperlink>
      <w:r w:rsidRPr="00F436CB">
        <w:rPr>
          <w:sz w:val="20"/>
          <w:szCs w:val="20"/>
        </w:rPr>
        <w:t xml:space="preserve"> With Special Feature on Racial and Ethnic Health Disparities. Hyattsville, Maryland: 2016Table 15. Life expectancy at birth, at age 65, and at age 75, by sex, race, and Hispanic origin: United States, selected years 19</w:t>
      </w:r>
      <w:r>
        <w:rPr>
          <w:sz w:val="20"/>
          <w:szCs w:val="20"/>
        </w:rPr>
        <w:t>00-2014. Accessed November 2016.</w:t>
      </w:r>
    </w:p>
  </w:footnote>
  <w:footnote w:id="53">
    <w:p w:rsidR="00853662" w:rsidRPr="00726C1B" w:rsidRDefault="00853662" w:rsidP="00726C1B">
      <w:pPr>
        <w:pStyle w:val="FootnoteText"/>
        <w:ind w:left="180" w:hanging="180"/>
      </w:pPr>
      <w:r w:rsidRPr="00726C1B">
        <w:rPr>
          <w:rStyle w:val="FootnoteReference"/>
        </w:rPr>
        <w:footnoteRef/>
      </w:r>
      <w:r w:rsidRPr="00726C1B">
        <w:t xml:space="preserve"> Murphy SL, Kochanek, KD, Xu JQ, Arias, E. Mortality in the United States, 2014. NCHS data brief, no 229, Hyattsville, MD: National Center for Health Statistics 2015</w:t>
      </w:r>
      <w:r>
        <w:t>.</w:t>
      </w:r>
    </w:p>
  </w:footnote>
  <w:footnote w:id="54">
    <w:p w:rsidR="00853662" w:rsidRDefault="00853662" w:rsidP="008129BA">
      <w:pPr>
        <w:pStyle w:val="FootnoteText"/>
      </w:pPr>
      <w:r w:rsidRPr="00726C1B">
        <w:rPr>
          <w:rStyle w:val="FootnoteReference"/>
        </w:rPr>
        <w:footnoteRef/>
      </w:r>
      <w:r w:rsidRPr="00726C1B">
        <w:t xml:space="preserve"> </w:t>
      </w:r>
      <w:r>
        <w:t xml:space="preserve">U.S. Census Bureau. Population Division. </w:t>
      </w:r>
      <w:r w:rsidRPr="00F27520">
        <w:t>Table 9. Projections of the Population by Sex and Age for the United States: 2015 to 2060 (NP2014-T9)</w:t>
      </w:r>
      <w:r>
        <w:t>. Release Date: December 2014. Accessed November 2016.</w:t>
      </w:r>
    </w:p>
    <w:p w:rsidR="00853662" w:rsidRPr="00726C1B" w:rsidRDefault="00853662" w:rsidP="007B7698">
      <w:pPr>
        <w:pStyle w:val="FootnoteText"/>
        <w:ind w:left="180" w:hanging="180"/>
      </w:pPr>
    </w:p>
  </w:footnote>
  <w:footnote w:id="55">
    <w:p w:rsidR="00853662" w:rsidRDefault="00853662" w:rsidP="00726C1B">
      <w:pPr>
        <w:pStyle w:val="FootnoteText"/>
        <w:ind w:left="180" w:hanging="180"/>
      </w:pPr>
      <w:r w:rsidRPr="00726C1B">
        <w:rPr>
          <w:rStyle w:val="FootnoteReference"/>
        </w:rPr>
        <w:footnoteRef/>
      </w:r>
      <w:r w:rsidRPr="00726C1B">
        <w:t xml:space="preserve"> Ackermann, R. T., Williams, B., Nguyen, H. Q., Berke, E. M., Maciejewski, M. L., &amp; LoGerfo, J. P. (2008). Healthcare Cost Differences with Participation </w:t>
      </w:r>
      <w:r w:rsidRPr="001F74BC">
        <w:t>in a Community</w:t>
      </w:r>
      <w:r w:rsidRPr="001F74BC">
        <w:rPr>
          <w:rFonts w:ascii="Cambria Math" w:hAnsi="Cambria Math" w:cs="Cambria Math"/>
        </w:rPr>
        <w:t>‐</w:t>
      </w:r>
      <w:r w:rsidRPr="001F74BC">
        <w:t>Based Group Physical Activity Benefit for Medicare Managed Care Health Plan Members. Journal of the American Geriatrics Society, 56(8), 1459-1465.</w:t>
      </w:r>
    </w:p>
  </w:footnote>
  <w:footnote w:id="56">
    <w:p w:rsidR="00853662" w:rsidRDefault="00853662" w:rsidP="00E90878">
      <w:pPr>
        <w:pStyle w:val="FootnoteText"/>
        <w:ind w:left="180" w:hanging="180"/>
      </w:pPr>
      <w:r>
        <w:rPr>
          <w:rStyle w:val="FootnoteReference"/>
        </w:rPr>
        <w:footnoteRef/>
      </w:r>
      <w:r>
        <w:t xml:space="preserve"> </w:t>
      </w:r>
      <w:r w:rsidRPr="00495E30">
        <w:t>Meredith, S., Feldman, P., Frey, D., Giammarco, L., Hall, K., Arnold, K., Ray, W. A. (2002). Improving medication use in newly admitted home healthcare patients: A randomized controlled trial. Journal of the American Geriatrics Society, 50(9), 1484–14</w:t>
      </w:r>
      <w:r w:rsidR="005726DB">
        <w:t xml:space="preserve">91. </w:t>
      </w:r>
      <w:hyperlink r:id="rId18" w:history="1">
        <w:r w:rsidR="005726DB" w:rsidRPr="005726DB">
          <w:rPr>
            <w:rStyle w:val="Hyperlink"/>
          </w:rPr>
          <w:t>PubMed abstract</w:t>
        </w:r>
      </w:hyperlink>
      <w:r>
        <w:t xml:space="preserve">.    </w:t>
      </w:r>
    </w:p>
  </w:footnote>
  <w:footnote w:id="57">
    <w:p w:rsidR="00853662" w:rsidRPr="00964F65" w:rsidRDefault="00853662" w:rsidP="00964F65">
      <w:pPr>
        <w:rPr>
          <w:color w:val="1F497D"/>
        </w:rPr>
      </w:pPr>
      <w:r>
        <w:rPr>
          <w:rStyle w:val="FootnoteReference"/>
        </w:rPr>
        <w:footnoteRef/>
      </w:r>
      <w:r>
        <w:t xml:space="preserve"> </w:t>
      </w:r>
      <w:r w:rsidR="00964F65" w:rsidRPr="00964F65">
        <w:rPr>
          <w:sz w:val="20"/>
          <w:szCs w:val="20"/>
        </w:rPr>
        <w:t xml:space="preserve">A summary of these studies can be found at: </w:t>
      </w:r>
      <w:r w:rsidR="00964F65" w:rsidRPr="00964F65">
        <w:rPr>
          <w:color w:val="1F497D"/>
          <w:sz w:val="20"/>
          <w:szCs w:val="20"/>
        </w:rPr>
        <w:t>  </w:t>
      </w:r>
      <w:hyperlink r:id="rId19" w:history="1">
        <w:r w:rsidR="00964F65" w:rsidRPr="00964F65">
          <w:rPr>
            <w:rStyle w:val="Hyperlink"/>
            <w:sz w:val="20"/>
            <w:szCs w:val="20"/>
          </w:rPr>
          <w:t>https://acl.gov/Programs/CPE/OPE/ADEPP.aspx</w:t>
        </w:r>
      </w:hyperlink>
      <w:r w:rsidR="00964F65">
        <w:rPr>
          <w:color w:val="1F497D"/>
          <w:sz w:val="20"/>
          <w:szCs w:val="20"/>
        </w:rPr>
        <w:t>.</w:t>
      </w:r>
      <w:r w:rsidR="00964F65">
        <w:rPr>
          <w:color w:val="1F497D"/>
        </w:rPr>
        <w:t xml:space="preserve"> </w:t>
      </w:r>
    </w:p>
  </w:footnote>
  <w:footnote w:id="58">
    <w:p w:rsidR="00853662" w:rsidRDefault="00853662" w:rsidP="00E90878">
      <w:pPr>
        <w:autoSpaceDE w:val="0"/>
        <w:autoSpaceDN w:val="0"/>
        <w:ind w:left="180" w:hanging="180"/>
      </w:pPr>
      <w:r>
        <w:rPr>
          <w:rStyle w:val="FootnoteReference"/>
        </w:rPr>
        <w:footnoteRef/>
      </w:r>
      <w:r>
        <w:t xml:space="preserve"> </w:t>
      </w:r>
      <w:hyperlink r:id="rId20" w:history="1">
        <w:r w:rsidR="00A85871">
          <w:rPr>
            <w:rStyle w:val="Hyperlink"/>
            <w:sz w:val="20"/>
            <w:szCs w:val="20"/>
          </w:rPr>
          <w:t>CMS Prevalence and Medicare Utilization and Spending for Chronic Conditions</w:t>
        </w:r>
      </w:hyperlink>
      <w:r w:rsidRPr="00A97F35">
        <w:rPr>
          <w:sz w:val="20"/>
          <w:szCs w:val="20"/>
        </w:rPr>
        <w:t>.</w:t>
      </w:r>
      <w:r>
        <w:t xml:space="preserve">  </w:t>
      </w:r>
    </w:p>
  </w:footnote>
  <w:footnote w:id="59">
    <w:p w:rsidR="00853662" w:rsidRDefault="00853662" w:rsidP="00A97F35">
      <w:pPr>
        <w:pStyle w:val="FootnoteText"/>
        <w:ind w:left="180" w:firstLine="15"/>
      </w:pPr>
      <w:r w:rsidRPr="000D1217">
        <w:rPr>
          <w:shd w:val="clear" w:color="auto" w:fill="FFFFFF"/>
        </w:rPr>
        <w:t>Snow, C.E.; Abrams, R.C. The Indirect Costs of Late-Life Depression in the United States: A Literature Review and Perspective.</w:t>
      </w:r>
      <w:r w:rsidRPr="000D1217">
        <w:rPr>
          <w:rStyle w:val="apple-converted-space"/>
          <w:shd w:val="clear" w:color="auto" w:fill="FFFFFF"/>
        </w:rPr>
        <w:t> </w:t>
      </w:r>
      <w:r w:rsidRPr="000D1217">
        <w:rPr>
          <w:rStyle w:val="Emphasis"/>
          <w:shd w:val="clear" w:color="auto" w:fill="FFFFFF"/>
        </w:rPr>
        <w:t>Geriatrics</w:t>
      </w:r>
      <w:r w:rsidRPr="000D1217">
        <w:rPr>
          <w:rStyle w:val="apple-converted-space"/>
          <w:shd w:val="clear" w:color="auto" w:fill="FFFFFF"/>
        </w:rPr>
        <w:t> </w:t>
      </w:r>
      <w:r w:rsidRPr="000D1217">
        <w:rPr>
          <w:b/>
          <w:bCs/>
          <w:shd w:val="clear" w:color="auto" w:fill="FFFFFF"/>
        </w:rPr>
        <w:t>2016</w:t>
      </w:r>
      <w:r w:rsidRPr="000D1217">
        <w:rPr>
          <w:shd w:val="clear" w:color="auto" w:fill="FFFFFF"/>
        </w:rPr>
        <w:t>,</w:t>
      </w:r>
      <w:r w:rsidRPr="000D1217">
        <w:rPr>
          <w:rStyle w:val="apple-converted-space"/>
          <w:shd w:val="clear" w:color="auto" w:fill="FFFFFF"/>
        </w:rPr>
        <w:t> </w:t>
      </w:r>
      <w:r w:rsidRPr="000D1217">
        <w:rPr>
          <w:rStyle w:val="Emphasis"/>
          <w:shd w:val="clear" w:color="auto" w:fill="FFFFFF"/>
        </w:rPr>
        <w:t>1</w:t>
      </w:r>
      <w:r w:rsidRPr="000D1217">
        <w:rPr>
          <w:shd w:val="clear" w:color="auto" w:fill="FFFFFF"/>
        </w:rPr>
        <w:t>, 30.</w:t>
      </w:r>
    </w:p>
  </w:footnote>
  <w:footnote w:id="60">
    <w:p w:rsidR="00853662" w:rsidRPr="00C43375" w:rsidRDefault="00853662" w:rsidP="00E90878">
      <w:pPr>
        <w:pStyle w:val="FootnoteText"/>
        <w:ind w:left="180" w:hanging="180"/>
      </w:pPr>
      <w:r w:rsidRPr="00C43375">
        <w:rPr>
          <w:rStyle w:val="FootnoteReference"/>
        </w:rPr>
        <w:footnoteRef/>
      </w:r>
      <w:r w:rsidRPr="00C43375">
        <w:t xml:space="preserve"> Program to Encourage Rewarding Lives for Seniors (2012).</w:t>
      </w:r>
      <w:r>
        <w:t xml:space="preserve"> </w:t>
      </w:r>
      <w:hyperlink r:id="rId21" w:history="1">
        <w:r w:rsidR="000F34AD">
          <w:rPr>
            <w:rStyle w:val="Hyperlink"/>
          </w:rPr>
          <w:t>PEARLS Program Description</w:t>
        </w:r>
      </w:hyperlink>
    </w:p>
  </w:footnote>
  <w:footnote w:id="61">
    <w:p w:rsidR="00853662" w:rsidRDefault="00853662" w:rsidP="00EB7718">
      <w:pPr>
        <w:pStyle w:val="FootnoteText"/>
      </w:pPr>
      <w:r>
        <w:rPr>
          <w:rStyle w:val="FootnoteReference"/>
        </w:rPr>
        <w:footnoteRef/>
      </w:r>
      <w:r>
        <w:t xml:space="preserve"> Lochner KA, Cox CS. Prevalence of Multiple Chronic Conditions Among Medicare Beneficiaries, United States, 2010. Prev Chronic Dis 2013.</w:t>
      </w:r>
    </w:p>
  </w:footnote>
  <w:footnote w:id="62">
    <w:p w:rsidR="00853662" w:rsidRDefault="00853662" w:rsidP="00EB7718">
      <w:pPr>
        <w:pStyle w:val="FootnoteText"/>
      </w:pPr>
      <w:r>
        <w:rPr>
          <w:rStyle w:val="FootnoteReference"/>
        </w:rPr>
        <w:footnoteRef/>
      </w:r>
      <w:r>
        <w:t xml:space="preserve"> Parekh, AK, et al. 2011. Managing Multiple Chronic Conditions: A Strategic Framework for Improving Health Outcomes and Quality of Life. Public Health Rep. 126(4):460-71.</w:t>
      </w:r>
    </w:p>
  </w:footnote>
  <w:footnote w:id="63">
    <w:p w:rsidR="00853662" w:rsidRDefault="00853662" w:rsidP="00EB7718">
      <w:pPr>
        <w:pStyle w:val="FootnoteText"/>
      </w:pPr>
      <w:r>
        <w:rPr>
          <w:rStyle w:val="FootnoteReference"/>
        </w:rPr>
        <w:footnoteRef/>
      </w:r>
      <w:r>
        <w:t xml:space="preserve"> Kramarow, E et al. 2007. Trends in Health of Older Americans, 1970-2005. Health Affairs (Milwood). Sep-Oct;26(5):1417-25.</w:t>
      </w:r>
    </w:p>
  </w:footnote>
  <w:footnote w:id="64">
    <w:p w:rsidR="00853662" w:rsidRDefault="00853662" w:rsidP="00EB7718">
      <w:pPr>
        <w:pStyle w:val="FootnoteText"/>
      </w:pPr>
      <w:r>
        <w:rPr>
          <w:rStyle w:val="FootnoteReference"/>
        </w:rPr>
        <w:footnoteRef/>
      </w:r>
      <w:r>
        <w:t xml:space="preserve"> Centers for Disease Control and Prevention. The State of Aging and Health in America 2013. Atlanta, GA: Centers for Disease Control and Prevention, US Dept of Health and Human Services; 2013.</w:t>
      </w:r>
    </w:p>
  </w:footnote>
  <w:footnote w:id="65">
    <w:p w:rsidR="00853662" w:rsidRPr="00D014C8" w:rsidRDefault="00853662" w:rsidP="00EB7718">
      <w:pPr>
        <w:pStyle w:val="FootnoteText"/>
        <w:ind w:left="270" w:hanging="270"/>
      </w:pPr>
      <w:r w:rsidRPr="00C43375">
        <w:rPr>
          <w:rStyle w:val="FootnoteReference"/>
        </w:rPr>
        <w:footnoteRef/>
      </w:r>
      <w:r w:rsidRPr="00C43375">
        <w:t xml:space="preserve"> </w:t>
      </w:r>
      <w:r>
        <w:t xml:space="preserve"> </w:t>
      </w:r>
      <w:r w:rsidRPr="00D014C8">
        <w:t>Brady, T.J., et al. 2013. “A Meta-analysis of Health Status, Health Behaviors, and Health Care Utilization Outcomes of the Chronic Disease Self-Management Program.” Prev Chronic Dis 10:120112.</w:t>
      </w:r>
    </w:p>
  </w:footnote>
  <w:footnote w:id="66">
    <w:p w:rsidR="00853662" w:rsidRPr="005E5CE7" w:rsidRDefault="00853662" w:rsidP="00EB7718">
      <w:pPr>
        <w:autoSpaceDE w:val="0"/>
        <w:autoSpaceDN w:val="0"/>
        <w:adjustRightInd w:val="0"/>
        <w:ind w:left="270" w:hanging="270"/>
        <w:rPr>
          <w:sz w:val="20"/>
          <w:szCs w:val="20"/>
        </w:rPr>
      </w:pPr>
      <w:r w:rsidRPr="005E5CE7">
        <w:rPr>
          <w:rStyle w:val="FootnoteReference"/>
          <w:sz w:val="20"/>
          <w:szCs w:val="20"/>
        </w:rPr>
        <w:footnoteRef/>
      </w:r>
      <w:r w:rsidRPr="005E5CE7">
        <w:rPr>
          <w:sz w:val="20"/>
          <w:szCs w:val="20"/>
        </w:rPr>
        <w:t xml:space="preserve"> </w:t>
      </w:r>
      <w:r>
        <w:rPr>
          <w:sz w:val="20"/>
          <w:szCs w:val="20"/>
        </w:rPr>
        <w:t xml:space="preserve"> </w:t>
      </w:r>
      <w:r w:rsidRPr="0021795A">
        <w:rPr>
          <w:sz w:val="20"/>
          <w:szCs w:val="20"/>
        </w:rPr>
        <w:t xml:space="preserve">Centers for Medicare &amp; Medicaid Services, Report to Congress: The Centers for Medicare &amp; Medicaid Services’ Evaluation of Community-based Wellness and Prevention Programs under Section 4202 (b) of the Affordable Care Act. </w:t>
      </w:r>
      <w:r>
        <w:rPr>
          <w:sz w:val="20"/>
          <w:szCs w:val="20"/>
        </w:rPr>
        <w:t xml:space="preserve">  h</w:t>
      </w:r>
      <w:r w:rsidRPr="0021795A">
        <w:rPr>
          <w:sz w:val="20"/>
          <w:szCs w:val="20"/>
        </w:rPr>
        <w:t>ttp://innovation.cms.gov/Files/reports/CommunityWellnessRTC.pdf. Accessed August 4, 2015</w:t>
      </w:r>
      <w:r>
        <w:rPr>
          <w:sz w:val="20"/>
          <w:szCs w:val="20"/>
        </w:rPr>
        <w:t>.</w:t>
      </w:r>
    </w:p>
  </w:footnote>
  <w:footnote w:id="67">
    <w:p w:rsidR="00853662" w:rsidRDefault="00853662" w:rsidP="00EB7718">
      <w:pPr>
        <w:pStyle w:val="FootnoteText"/>
        <w:ind w:left="180" w:hanging="180"/>
      </w:pPr>
      <w:r>
        <w:rPr>
          <w:rStyle w:val="FootnoteReference"/>
        </w:rPr>
        <w:footnoteRef/>
      </w:r>
      <w:r>
        <w:t xml:space="preserve"> </w:t>
      </w:r>
      <w:r w:rsidRPr="00210B84">
        <w:t>Ahn S et al. The Impact of Chronic Disease Self-Management Programs: Healthcare Savings through a Community-Based Intervention. BMC Public Health. 2013. 13:1141. doi:10.1186/1471-2458-13-1141 Available at: http://www.biomedcentral.com/1471-2458/13/1141. Accessed August 4, 2015</w:t>
      </w:r>
      <w:r>
        <w:t xml:space="preserve">. </w:t>
      </w:r>
    </w:p>
  </w:footnote>
  <w:footnote w:id="68">
    <w:p w:rsidR="00853662" w:rsidRDefault="00853662" w:rsidP="00EB7718">
      <w:pPr>
        <w:pStyle w:val="FootnoteText"/>
      </w:pPr>
      <w:r>
        <w:rPr>
          <w:rStyle w:val="FootnoteReference"/>
        </w:rPr>
        <w:footnoteRef/>
      </w:r>
      <w:r>
        <w:t xml:space="preserve"> </w:t>
      </w:r>
      <w:hyperlink r:id="rId22" w:history="1">
        <w:r w:rsidRPr="00CC7C9C">
          <w:rPr>
            <w:rStyle w:val="Hyperlink"/>
          </w:rPr>
          <w:t>Chronic Disease Self-Management Program Integrated Services Delivery System Assessment Tool Results</w:t>
        </w:r>
      </w:hyperlink>
      <w:r>
        <w:t>. Na</w:t>
      </w:r>
      <w:r w:rsidR="00CC7C9C">
        <w:t xml:space="preserve">tional Council on Aging. 2015. </w:t>
      </w:r>
      <w:r>
        <w:t>Accessed November 28, 2016.</w:t>
      </w:r>
    </w:p>
  </w:footnote>
  <w:footnote w:id="69">
    <w:p w:rsidR="00853662" w:rsidRDefault="00853662" w:rsidP="00EB7718">
      <w:pPr>
        <w:pStyle w:val="FootnoteText"/>
        <w:ind w:left="180" w:hanging="180"/>
      </w:pPr>
      <w:r>
        <w:rPr>
          <w:rStyle w:val="FootnoteReference"/>
        </w:rPr>
        <w:footnoteRef/>
      </w:r>
      <w:r>
        <w:t xml:space="preserve"> Racial/ethnic minorities refer to individuals who self-report at least one of the following racial or ethnic identities: Asian, Black or African American, Hispanic or Latino, Native Hawaiian or other Pacific Islander, American Indian or Alaska Native.</w:t>
      </w:r>
    </w:p>
    <w:p w:rsidR="00853662" w:rsidRDefault="00853662" w:rsidP="00EB7718">
      <w:pPr>
        <w:pStyle w:val="FootnoteText"/>
      </w:pPr>
    </w:p>
  </w:footnote>
  <w:footnote w:id="70">
    <w:p w:rsidR="00853662" w:rsidRPr="00B80894" w:rsidRDefault="00853662" w:rsidP="001837D4">
      <w:pPr>
        <w:ind w:left="720" w:hanging="720"/>
        <w:rPr>
          <w:color w:val="1A1A1A"/>
          <w:sz w:val="20"/>
          <w:szCs w:val="20"/>
        </w:rPr>
      </w:pPr>
      <w:r w:rsidRPr="00B80894">
        <w:rPr>
          <w:rStyle w:val="FootnoteReference"/>
          <w:sz w:val="20"/>
          <w:szCs w:val="20"/>
        </w:rPr>
        <w:footnoteRef/>
      </w:r>
      <w:r w:rsidRPr="00B80894">
        <w:rPr>
          <w:sz w:val="20"/>
          <w:szCs w:val="20"/>
        </w:rPr>
        <w:t xml:space="preserve"> </w:t>
      </w:r>
      <w:r w:rsidRPr="00B80894">
        <w:rPr>
          <w:color w:val="1A1A1A"/>
          <w:sz w:val="20"/>
          <w:szCs w:val="20"/>
        </w:rPr>
        <w:t xml:space="preserve">Substance Abuse and Mental Health Services Administration (SAMHSA). (2012). </w:t>
      </w:r>
      <w:hyperlink r:id="rId23" w:history="1">
        <w:r w:rsidRPr="00EC214B">
          <w:rPr>
            <w:rStyle w:val="Hyperlink"/>
            <w:sz w:val="20"/>
            <w:szCs w:val="20"/>
          </w:rPr>
          <w:t>Older Americans Behavioral Health Issue Brief:  Series Overview</w:t>
        </w:r>
      </w:hyperlink>
      <w:r w:rsidR="00EC214B">
        <w:rPr>
          <w:color w:val="1A1A1A"/>
          <w:sz w:val="20"/>
          <w:szCs w:val="20"/>
        </w:rPr>
        <w:t>.</w:t>
      </w:r>
      <w:r w:rsidRPr="00B80894">
        <w:rPr>
          <w:color w:val="1A1A1A"/>
          <w:sz w:val="20"/>
          <w:szCs w:val="20"/>
        </w:rPr>
        <w:t xml:space="preserve"> </w:t>
      </w:r>
    </w:p>
  </w:footnote>
  <w:footnote w:id="71">
    <w:p w:rsidR="00853662" w:rsidRPr="00B80894" w:rsidRDefault="00853662" w:rsidP="001837D4">
      <w:pPr>
        <w:pStyle w:val="FootnoteText"/>
      </w:pPr>
      <w:r w:rsidRPr="00B80894">
        <w:rPr>
          <w:rStyle w:val="FootnoteReference"/>
        </w:rPr>
        <w:footnoteRef/>
      </w:r>
      <w:r w:rsidRPr="00B80894">
        <w:t xml:space="preserve"> World Health Organization (2016). Mental Health and Older Adults,: A Fact Sheet. Retrieved from http://www.who.int/mediacentre/factsheets/fs381/en/</w:t>
      </w:r>
    </w:p>
  </w:footnote>
  <w:footnote w:id="72">
    <w:p w:rsidR="00853662" w:rsidRDefault="00853662" w:rsidP="001837D4">
      <w:pPr>
        <w:pStyle w:val="FootnoteText"/>
      </w:pPr>
      <w:r>
        <w:rPr>
          <w:rStyle w:val="FootnoteReference"/>
        </w:rPr>
        <w:footnoteRef/>
      </w:r>
      <w:r>
        <w:t xml:space="preserve"> U.S Centers for Disease Control and Prevention. (2016). Facts About Falls. Accessed November 28</w:t>
      </w:r>
      <w:r w:rsidRPr="004E0892">
        <w:rPr>
          <w:vertAlign w:val="superscript"/>
        </w:rPr>
        <w:t>th</w:t>
      </w:r>
      <w:r>
        <w:t>, 2016 from</w:t>
      </w:r>
      <w:r w:rsidRPr="004E0892">
        <w:t>http://www.cdc.gov/homeandrecreationalsafety/falls/adultfalls.html</w:t>
      </w:r>
      <w:r>
        <w:t xml:space="preserve">. </w:t>
      </w:r>
    </w:p>
  </w:footnote>
  <w:footnote w:id="73">
    <w:p w:rsidR="00853662" w:rsidRDefault="00853662" w:rsidP="001837D4">
      <w:pPr>
        <w:pStyle w:val="FootnoteText"/>
        <w:ind w:left="180" w:hanging="180"/>
      </w:pPr>
      <w:r>
        <w:rPr>
          <w:rStyle w:val="FootnoteReference"/>
        </w:rPr>
        <w:footnoteRef/>
      </w:r>
      <w:r>
        <w:t xml:space="preserve"> </w:t>
      </w:r>
      <w:r w:rsidRPr="00501F46">
        <w:t>Stevens JA, Ballesteros MF, Mack KA, Rudd RA, DeCaro E, Adler G. Gender differences in seeking care for falls in the aged Medicare Population. American Journal of Preventive Medicine 2012;43:59–62.</w:t>
      </w:r>
    </w:p>
  </w:footnote>
  <w:footnote w:id="74">
    <w:p w:rsidR="00853662" w:rsidRDefault="00853662" w:rsidP="001837D4">
      <w:pPr>
        <w:pStyle w:val="FootnoteText"/>
        <w:ind w:left="180" w:hanging="180"/>
      </w:pPr>
      <w:r>
        <w:rPr>
          <w:rStyle w:val="FootnoteReference"/>
        </w:rPr>
        <w:footnoteRef/>
      </w:r>
      <w:r>
        <w:t xml:space="preserve"> </w:t>
      </w:r>
      <w:r w:rsidRPr="00990269">
        <w:t>Centers for Disease Control and Prevention, National Center for Injury Prevention and Control. Web–based Injury Statistics Query and Reporting System (WISQARS) [online]. Accessed August 5, 2016.</w:t>
      </w:r>
    </w:p>
  </w:footnote>
  <w:footnote w:id="75">
    <w:p w:rsidR="00853662" w:rsidRPr="00A147A7" w:rsidRDefault="00853662" w:rsidP="001837D4">
      <w:pPr>
        <w:pStyle w:val="FootnoteText"/>
      </w:pPr>
      <w:r w:rsidRPr="00A147A7">
        <w:rPr>
          <w:rStyle w:val="FootnoteReference"/>
        </w:rPr>
        <w:footnoteRef/>
      </w:r>
      <w:r w:rsidRPr="00A147A7">
        <w:t xml:space="preserve"> </w:t>
      </w:r>
      <w:r w:rsidRPr="00A147A7">
        <w:rPr>
          <w:color w:val="000000"/>
          <w:shd w:val="clear" w:color="auto" w:fill="FFFFFF"/>
        </w:rPr>
        <w:t xml:space="preserve">Burns EB, Stevens JA, Lee RL. (2016). The direct costs of fatal and non-fatal falls among older adults—United States. Journal of Safety Research, </w:t>
      </w:r>
    </w:p>
  </w:footnote>
  <w:footnote w:id="76">
    <w:p w:rsidR="00853662" w:rsidRDefault="00853662" w:rsidP="001837D4">
      <w:pPr>
        <w:pStyle w:val="FootnoteText"/>
        <w:ind w:left="180" w:hanging="180"/>
      </w:pPr>
      <w:r>
        <w:rPr>
          <w:rStyle w:val="FootnoteReference"/>
        </w:rPr>
        <w:footnoteRef/>
      </w:r>
      <w:r>
        <w:t xml:space="preserve"> </w:t>
      </w:r>
      <w:r w:rsidRPr="00501F46">
        <w:t>Tinetti, M.E., Dorothy I. Baker, D.I., King, M, Gottschalk, M.,Murphy, T.E., Acampora,D., Carlin, B.P., Linda Leo-Summers, L., and Allore, H.G. (2008) Effect of Dissemination of Evidence in Reducing Injuries from Falls. N Engl J Med;359:252-61</w:t>
      </w:r>
      <w:r>
        <w:t xml:space="preserve">. </w:t>
      </w:r>
    </w:p>
  </w:footnote>
  <w:footnote w:id="77">
    <w:p w:rsidR="00853662" w:rsidRDefault="00853662" w:rsidP="001837D4">
      <w:pPr>
        <w:pStyle w:val="FootnoteText"/>
        <w:ind w:left="180" w:hanging="180"/>
      </w:pPr>
      <w:r>
        <w:rPr>
          <w:rStyle w:val="FootnoteReference"/>
        </w:rPr>
        <w:footnoteRef/>
      </w:r>
      <w:r>
        <w:t xml:space="preserve"> Report to Congress: The Centers for Medicare &amp; Medicaid Services’ Evaluation of Community-based Wellness and Prevention Programs under Section 4202 (b) of the Affordable Care Act. Accessed February 10th, 2015 from:http://innovation.cms.gov/Files/reports/CommunityWellnessRTC.pdf.</w:t>
      </w:r>
    </w:p>
  </w:footnote>
  <w:footnote w:id="78">
    <w:p w:rsidR="00853662" w:rsidRDefault="00853662" w:rsidP="001837D4">
      <w:pPr>
        <w:pStyle w:val="FootnoteText"/>
        <w:ind w:left="180" w:hanging="180"/>
      </w:pPr>
      <w:r>
        <w:rPr>
          <w:rStyle w:val="FootnoteReference"/>
        </w:rPr>
        <w:footnoteRef/>
      </w:r>
      <w:r>
        <w:t xml:space="preserve"> </w:t>
      </w:r>
      <w:r w:rsidRPr="00501F46">
        <w:t>Carande-Kulisa, V., et al. (2015), A cost–benefit analysis of three older adult fall prevention interventions, Journal of Safety Research, Accessed February 2nd, 2015 from:  http://www.cdc.gov/homea ndrecreationalsafety/Falls/steadi/index.html#practice</w:t>
      </w:r>
      <w:r>
        <w:t xml:space="preserve">. </w:t>
      </w:r>
    </w:p>
  </w:footnote>
  <w:footnote w:id="79">
    <w:p w:rsidR="00853662" w:rsidRDefault="00853662" w:rsidP="003755C1">
      <w:pPr>
        <w:pStyle w:val="FootnoteText"/>
        <w:ind w:left="180" w:hanging="180"/>
      </w:pPr>
      <w:r>
        <w:rPr>
          <w:rStyle w:val="FootnoteReference"/>
        </w:rPr>
        <w:footnoteRef/>
      </w:r>
      <w:r>
        <w:t xml:space="preserve"> Research Report: </w:t>
      </w:r>
      <w:r w:rsidRPr="00EE2A50">
        <w:t>Caregiving in the U.S.</w:t>
      </w:r>
      <w:r>
        <w:t xml:space="preserve"> 2015- </w:t>
      </w:r>
      <w:r w:rsidRPr="00EE2A50">
        <w:t xml:space="preserve"> A Focused Look at </w:t>
      </w:r>
      <w:r>
        <w:t>Caregivers of Adults</w:t>
      </w:r>
      <w:r w:rsidRPr="00EE2A50">
        <w:t xml:space="preserve"> Age 50</w:t>
      </w:r>
      <w:r>
        <w:t>+</w:t>
      </w:r>
      <w:r w:rsidRPr="00EE2A50">
        <w:t>.  National Alliance for Caregiving</w:t>
      </w:r>
      <w:r>
        <w:t xml:space="preserve"> and AARP Public Policy Institute</w:t>
      </w:r>
      <w:r w:rsidRPr="00EE2A50">
        <w:t xml:space="preserve">. </w:t>
      </w:r>
      <w:r>
        <w:t>June 2015</w:t>
      </w:r>
      <w:r w:rsidRPr="00EE2A50">
        <w:t>.</w:t>
      </w:r>
      <w:r w:rsidRPr="003755C1">
        <w:t xml:space="preserve"> </w:t>
      </w:r>
      <w:r w:rsidRPr="00432B8D">
        <w:t>http://www.caregiving.org/wp-content/uploads/2015/05/2015_CaregivingintheUS_Care-Recipients-Over-50_WEB.pdf</w:t>
      </w:r>
    </w:p>
  </w:footnote>
  <w:footnote w:id="80">
    <w:p w:rsidR="00853662" w:rsidRPr="00EE2A50" w:rsidRDefault="00853662" w:rsidP="00C34C6C">
      <w:pPr>
        <w:pStyle w:val="FootnoteText"/>
        <w:ind w:left="180" w:hanging="180"/>
      </w:pPr>
      <w:r w:rsidRPr="00EE2A50">
        <w:rPr>
          <w:rStyle w:val="FootnoteReference"/>
        </w:rPr>
        <w:footnoteRef/>
      </w:r>
      <w:r w:rsidRPr="00EE2A50">
        <w:t xml:space="preserve"> </w:t>
      </w:r>
      <w:r>
        <w:t>Ibid.</w:t>
      </w:r>
      <w:r w:rsidRPr="00EE2A50">
        <w:t xml:space="preserve"> </w:t>
      </w:r>
    </w:p>
  </w:footnote>
  <w:footnote w:id="81">
    <w:p w:rsidR="00853662" w:rsidRPr="00EE2A50" w:rsidRDefault="00853662" w:rsidP="00C34C6C">
      <w:pPr>
        <w:pStyle w:val="FootnoteText"/>
        <w:ind w:left="180" w:hanging="180"/>
      </w:pPr>
      <w:r w:rsidRPr="00EE2A50">
        <w:rPr>
          <w:rStyle w:val="FootnoteReference"/>
        </w:rPr>
        <w:footnoteRef/>
      </w:r>
      <w:r w:rsidRPr="00EE2A50">
        <w:t xml:space="preserve"> </w:t>
      </w:r>
      <w:hyperlink r:id="rId24" w:history="1">
        <w:r w:rsidRPr="006D1716">
          <w:rPr>
            <w:rStyle w:val="Hyperlink"/>
          </w:rPr>
          <w:t>Valuing the Invaluable: 2015 Update, The Growing Contributions and Costs of Family Caregiving</w:t>
        </w:r>
      </w:hyperlink>
      <w:r w:rsidRPr="00EE2A50">
        <w:t>. AARP Public Policy Institute. July 201</w:t>
      </w:r>
      <w:r>
        <w:t xml:space="preserve">5. </w:t>
      </w:r>
    </w:p>
  </w:footnote>
  <w:footnote w:id="82">
    <w:p w:rsidR="00853662" w:rsidRDefault="00853662" w:rsidP="007B7698">
      <w:pPr>
        <w:pStyle w:val="FootnoteText"/>
        <w:ind w:left="180" w:hanging="180"/>
      </w:pPr>
      <w:r>
        <w:rPr>
          <w:rStyle w:val="FootnoteReference"/>
        </w:rPr>
        <w:footnoteRef/>
      </w:r>
      <w:r>
        <w:t xml:space="preserve"> </w:t>
      </w:r>
      <w:r w:rsidRPr="00194F93">
        <w:rPr>
          <w:i/>
        </w:rPr>
        <w:t xml:space="preserve">The Opportunity Costs of Informal Elder-Care in the United States. </w:t>
      </w:r>
      <w:r w:rsidRPr="00200F1C">
        <w:t>The</w:t>
      </w:r>
      <w:r>
        <w:rPr>
          <w:i/>
        </w:rPr>
        <w:t xml:space="preserve"> </w:t>
      </w:r>
      <w:r w:rsidRPr="00194F93">
        <w:t xml:space="preserve">Rand Corporation. </w:t>
      </w:r>
      <w:r>
        <w:t xml:space="preserve">2014. </w:t>
      </w:r>
      <w:r w:rsidRPr="00194F93">
        <w:t>http://www.rand.org/pubs/external_publications/EP66196.html</w:t>
      </w:r>
      <w:r>
        <w:t>.</w:t>
      </w:r>
    </w:p>
  </w:footnote>
  <w:footnote w:id="83">
    <w:p w:rsidR="00853662" w:rsidRPr="00EE2A50" w:rsidRDefault="00853662" w:rsidP="00C34C6C">
      <w:pPr>
        <w:pStyle w:val="FootnoteText"/>
        <w:ind w:left="180" w:hanging="180"/>
      </w:pPr>
      <w:r w:rsidRPr="00EE2A50">
        <w:rPr>
          <w:rStyle w:val="FootnoteReference"/>
        </w:rPr>
        <w:footnoteRef/>
      </w:r>
      <w:r w:rsidRPr="00EE2A50">
        <w:t xml:space="preserve"> </w:t>
      </w:r>
      <w:hyperlink r:id="rId25" w:history="1">
        <w:r w:rsidRPr="001448BA">
          <w:rPr>
            <w:rStyle w:val="Hyperlink"/>
          </w:rPr>
          <w:t>Home Alone: Family Caregivers Providing Complex Chronic Care. AARP and United Hospital Fund</w:t>
        </w:r>
      </w:hyperlink>
      <w:r w:rsidR="001448BA">
        <w:t>. October 2012.</w:t>
      </w:r>
    </w:p>
  </w:footnote>
  <w:footnote w:id="84">
    <w:p w:rsidR="00853662" w:rsidRPr="00FD27F6" w:rsidRDefault="00853662" w:rsidP="00FD27F6">
      <w:pPr>
        <w:ind w:left="180" w:hanging="180"/>
        <w:rPr>
          <w:sz w:val="20"/>
          <w:szCs w:val="20"/>
        </w:rPr>
      </w:pPr>
      <w:r w:rsidRPr="00EE2A50">
        <w:rPr>
          <w:rStyle w:val="FootnoteReference"/>
        </w:rPr>
        <w:footnoteRef/>
      </w:r>
      <w:r w:rsidRPr="00EE2A50">
        <w:t xml:space="preserve"> </w:t>
      </w:r>
      <w:r w:rsidRPr="00085F3A">
        <w:rPr>
          <w:sz w:val="20"/>
          <w:szCs w:val="20"/>
        </w:rPr>
        <w:t xml:space="preserve">Perkins, M., Howard, V. J., Wadley, V. G., Crowe, M., </w:t>
      </w:r>
      <w:r>
        <w:rPr>
          <w:sz w:val="20"/>
          <w:szCs w:val="20"/>
        </w:rPr>
        <w:t xml:space="preserve">Safford, M. M., Haley, W. E., </w:t>
      </w:r>
      <w:r w:rsidRPr="00085F3A">
        <w:rPr>
          <w:sz w:val="20"/>
          <w:szCs w:val="20"/>
        </w:rPr>
        <w:t xml:space="preserve">Roth, D. L. (2013). Caregiving strain and all-cause mortality: Evidence from the REGARDS Study. </w:t>
      </w:r>
      <w:r w:rsidRPr="00085F3A">
        <w:rPr>
          <w:i/>
          <w:iCs/>
          <w:sz w:val="20"/>
          <w:szCs w:val="20"/>
        </w:rPr>
        <w:t xml:space="preserve">Journals of Gerontology Series B: Psychological Sciences and Social Sciences, 68, </w:t>
      </w:r>
      <w:r w:rsidRPr="00085F3A">
        <w:rPr>
          <w:sz w:val="20"/>
          <w:szCs w:val="20"/>
        </w:rPr>
        <w:t>504</w:t>
      </w:r>
      <w:r>
        <w:rPr>
          <w:sz w:val="20"/>
          <w:szCs w:val="20"/>
        </w:rPr>
        <w:t>-512. doi:10.1093/geronb/gbs084.</w:t>
      </w:r>
    </w:p>
  </w:footnote>
  <w:footnote w:id="85">
    <w:p w:rsidR="00853662" w:rsidRDefault="00853662" w:rsidP="00707F46">
      <w:pPr>
        <w:pStyle w:val="FootnoteText"/>
        <w:ind w:left="180" w:hanging="180"/>
      </w:pPr>
      <w:r>
        <w:rPr>
          <w:rStyle w:val="FootnoteReference"/>
        </w:rPr>
        <w:footnoteRef/>
      </w:r>
      <w:r>
        <w:t xml:space="preserve"> </w:t>
      </w:r>
      <w:r w:rsidRPr="00085F3A">
        <w:t xml:space="preserve">Roth, D. L., Haley, W. E., Hovater, M., Perkins, M., Wadley, V. G., &amp; Judd, S. (2013). Family caregiving and all-cause mortality: Findings from a population-based propensity-matched analysis. </w:t>
      </w:r>
      <w:r w:rsidRPr="00085F3A">
        <w:rPr>
          <w:i/>
          <w:iCs/>
        </w:rPr>
        <w:t xml:space="preserve">American Journal of Epidemiology, 178, </w:t>
      </w:r>
      <w:r w:rsidRPr="00085F3A">
        <w:t>1571-1578. doi:10.1093/aje/kwt225</w:t>
      </w:r>
    </w:p>
  </w:footnote>
  <w:footnote w:id="86">
    <w:p w:rsidR="00853662" w:rsidRDefault="00853662" w:rsidP="00707F46">
      <w:pPr>
        <w:pStyle w:val="FootnoteText"/>
        <w:ind w:left="180" w:hanging="180"/>
      </w:pPr>
      <w:r>
        <w:rPr>
          <w:rStyle w:val="FootnoteReference"/>
        </w:rPr>
        <w:footnoteRef/>
      </w:r>
      <w:r>
        <w:t xml:space="preserve"> </w:t>
      </w:r>
      <w:r w:rsidRPr="00085F3A">
        <w:t xml:space="preserve">Roth, D. L., Fredman, L., &amp; Haley, W. E. (2015, Special Issue). Informal caregiving and its impact on health: A reappraisal from population-based studies. </w:t>
      </w:r>
      <w:r w:rsidRPr="00085F3A">
        <w:rPr>
          <w:i/>
          <w:iCs/>
        </w:rPr>
        <w:t xml:space="preserve">The Gerontologist, 55, </w:t>
      </w:r>
      <w:r w:rsidRPr="00085F3A">
        <w:t>309-319. doi:10/1093/geront/gnu177</w:t>
      </w:r>
    </w:p>
  </w:footnote>
  <w:footnote w:id="87">
    <w:p w:rsidR="00853662" w:rsidRPr="00EE2A50" w:rsidRDefault="00853662" w:rsidP="00C34C6C">
      <w:pPr>
        <w:pStyle w:val="FootnoteText"/>
        <w:ind w:left="180" w:hanging="180"/>
      </w:pPr>
      <w:r w:rsidRPr="00EE2A50">
        <w:rPr>
          <w:rStyle w:val="FootnoteReference"/>
        </w:rPr>
        <w:footnoteRef/>
      </w:r>
      <w:r w:rsidRPr="00EE2A50">
        <w:t xml:space="preserve"> </w:t>
      </w:r>
      <w:r>
        <w:t>2015</w:t>
      </w:r>
      <w:r w:rsidRPr="00EE2A50">
        <w:t xml:space="preserve"> National Survey of Older Americans Act Participants. </w:t>
      </w:r>
      <w:hyperlink r:id="rId26" w:history="1">
        <w:r w:rsidR="00D65A85">
          <w:rPr>
            <w:rStyle w:val="Hyperlink"/>
          </w:rPr>
          <w:t>AoA: AGing Integrated Database</w:t>
        </w:r>
      </w:hyperlink>
      <w:r w:rsidRPr="00EE2A50">
        <w:t xml:space="preserve"> </w:t>
      </w:r>
    </w:p>
  </w:footnote>
  <w:footnote w:id="88">
    <w:p w:rsidR="00853662" w:rsidRPr="00C633B4" w:rsidRDefault="00853662" w:rsidP="009541A3">
      <w:pPr>
        <w:pStyle w:val="FootnoteText"/>
      </w:pPr>
      <w:r w:rsidRPr="00EE2A50">
        <w:rPr>
          <w:rStyle w:val="FootnoteReference"/>
        </w:rPr>
        <w:footnoteRef/>
      </w:r>
      <w:r>
        <w:t xml:space="preserve"> U.S. Census Bureau. Population Division. Annual Estimates of the Resident Population for Selected Age Groups by Sex for the United States, States, Counties, and Puerto Rico Commonwealth and Municipios: April 1, 2010 to July 1, 2015. Release Date: June 2016. Accessed November 2016, and U.S. Census Bureau. Population Division. </w:t>
      </w:r>
      <w:r w:rsidRPr="00F27520">
        <w:t>Table 9. Projections of the Population by Sex and Age for the United States: 2015 to 2060 (NP2014-T9)</w:t>
      </w:r>
      <w:r>
        <w:t xml:space="preserve">. Release Date: December 2014. Accessed November 2016, and Centers for Medicare &amp; Medicaid Services, The characteristics and perceptions of the Medicare population.  </w:t>
      </w:r>
      <w:hyperlink r:id="rId27" w:history="1">
        <w:r w:rsidRPr="002433A0">
          <w:rPr>
            <w:rStyle w:val="Hyperlink"/>
          </w:rPr>
          <w:t>Data from the 2013 Medicare Current Beneficiary Survey</w:t>
        </w:r>
      </w:hyperlink>
      <w:r>
        <w:t>.</w:t>
      </w:r>
      <w:r w:rsidR="002433A0">
        <w:t xml:space="preserve">  [data tables 2.5a and 2.6a]. </w:t>
      </w:r>
      <w:r w:rsidRPr="00E24558">
        <w:t xml:space="preserve">Accessed </w:t>
      </w:r>
      <w:r>
        <w:t>November</w:t>
      </w:r>
      <w:r w:rsidRPr="00E24558">
        <w:t xml:space="preserve"> 201</w:t>
      </w:r>
      <w:r>
        <w:t>6</w:t>
      </w:r>
      <w:r w:rsidRPr="00E24558">
        <w:t>.</w:t>
      </w:r>
    </w:p>
    <w:p w:rsidR="00853662" w:rsidRPr="002F423E" w:rsidRDefault="00853662" w:rsidP="00C07071">
      <w:pPr>
        <w:pStyle w:val="FootnoteText"/>
        <w:ind w:left="180" w:hanging="180"/>
      </w:pPr>
    </w:p>
  </w:footnote>
  <w:footnote w:id="89">
    <w:p w:rsidR="00853662" w:rsidRDefault="00853662" w:rsidP="00C34C6C">
      <w:pPr>
        <w:pStyle w:val="FootnoteText"/>
        <w:ind w:left="180" w:hanging="180"/>
      </w:pPr>
      <w:r w:rsidRPr="00155D0B">
        <w:rPr>
          <w:rStyle w:val="FootnoteReference"/>
        </w:rPr>
        <w:footnoteRef/>
      </w:r>
      <w:r w:rsidRPr="00155D0B">
        <w:t xml:space="preserve"> </w:t>
      </w:r>
      <w:r>
        <w:t>AoA’s FY 2015 State Program Report</w:t>
      </w:r>
      <w:r w:rsidRPr="00155D0B">
        <w:t>.</w:t>
      </w:r>
      <w:r w:rsidRPr="00D75E8B">
        <w:t> </w:t>
      </w:r>
      <w:r w:rsidRPr="00BD7EBC">
        <w:t>These data are preliminary and should not be taken as final</w:t>
      </w:r>
    </w:p>
  </w:footnote>
  <w:footnote w:id="90">
    <w:p w:rsidR="00853662" w:rsidRPr="00155D0B" w:rsidRDefault="00853662" w:rsidP="00D72CC5">
      <w:pPr>
        <w:pStyle w:val="FootnoteText"/>
        <w:ind w:left="180" w:hanging="180"/>
        <w:jc w:val="both"/>
      </w:pPr>
      <w:r w:rsidRPr="00155D0B">
        <w:rPr>
          <w:rStyle w:val="FootnoteReference"/>
        </w:rPr>
        <w:footnoteRef/>
      </w:r>
      <w:r>
        <w:t xml:space="preserve"> 2015</w:t>
      </w:r>
      <w:r w:rsidRPr="00155D0B">
        <w:t xml:space="preserve"> National Survey of Older Americans Act Participants.  </w:t>
      </w:r>
      <w:hyperlink r:id="rId28" w:history="1">
        <w:r w:rsidR="00D65A85">
          <w:rPr>
            <w:rStyle w:val="Hyperlink"/>
          </w:rPr>
          <w:t>AoA: AGing Integrated Database</w:t>
        </w:r>
      </w:hyperlink>
      <w:r w:rsidRPr="00155D0B">
        <w:t>.</w:t>
      </w:r>
    </w:p>
  </w:footnote>
  <w:footnote w:id="91">
    <w:p w:rsidR="00853662" w:rsidRDefault="00853662" w:rsidP="00D72CC5">
      <w:pPr>
        <w:pStyle w:val="FootnoteText"/>
        <w:ind w:left="180" w:hanging="180"/>
      </w:pPr>
      <w:r>
        <w:rPr>
          <w:rStyle w:val="FootnoteReference"/>
        </w:rPr>
        <w:footnoteRef/>
      </w:r>
      <w:r>
        <w:t xml:space="preserve"> </w:t>
      </w:r>
      <w:r w:rsidRPr="00773AAA">
        <w:t>Center on Aging Society.  (2005)  How Do Family Caregivers Fare? A Closer Look at Their Experiences. (Data Profile, Number 3).  Washington, DC:  Georgetown University.</w:t>
      </w:r>
    </w:p>
  </w:footnote>
  <w:footnote w:id="92">
    <w:p w:rsidR="00853662" w:rsidRDefault="00853662" w:rsidP="00D72CC5">
      <w:pPr>
        <w:pStyle w:val="FootnoteText"/>
        <w:ind w:left="180" w:hanging="180"/>
      </w:pPr>
      <w:r>
        <w:rPr>
          <w:rStyle w:val="FootnoteReference"/>
        </w:rPr>
        <w:footnoteRef/>
      </w:r>
      <w:r>
        <w:t xml:space="preserve"> Research Report: </w:t>
      </w:r>
      <w:hyperlink r:id="rId29" w:history="1">
        <w:r w:rsidRPr="00E426CB">
          <w:rPr>
            <w:rStyle w:val="Hyperlink"/>
          </w:rPr>
          <w:t>Caregiving in the U.S. 2015- A Focused Look at Caregivers of Adults Age 50+</w:t>
        </w:r>
      </w:hyperlink>
      <w:r w:rsidRPr="00EE2A50">
        <w:t>.  National Alliance for Caregiving</w:t>
      </w:r>
      <w:r>
        <w:t xml:space="preserve"> and AARP Public Policy Institute</w:t>
      </w:r>
      <w:r w:rsidRPr="00EE2A50">
        <w:t xml:space="preserve">. </w:t>
      </w:r>
      <w:r>
        <w:t>June 2015</w:t>
      </w:r>
      <w:r w:rsidRPr="00EE2A50">
        <w:t>.</w:t>
      </w:r>
    </w:p>
  </w:footnote>
  <w:footnote w:id="93">
    <w:p w:rsidR="00853662" w:rsidRDefault="00853662" w:rsidP="00D72CC5">
      <w:pPr>
        <w:pStyle w:val="FootnoteText"/>
        <w:ind w:left="180" w:hanging="180"/>
      </w:pPr>
      <w:r>
        <w:rPr>
          <w:rStyle w:val="FootnoteReference"/>
        </w:rPr>
        <w:footnoteRef/>
      </w:r>
      <w:r>
        <w:t xml:space="preserve"> 2015</w:t>
      </w:r>
      <w:r w:rsidRPr="004370C9">
        <w:t xml:space="preserve"> National Survey of Older Americans Act participants.</w:t>
      </w:r>
      <w:r w:rsidRPr="001361A9">
        <w:rPr>
          <w:rStyle w:val="FootnoteTextChar"/>
        </w:rPr>
        <w:t xml:space="preserve"> </w:t>
      </w:r>
      <w:hyperlink r:id="rId30" w:history="1">
        <w:r w:rsidR="00D65A85">
          <w:rPr>
            <w:rStyle w:val="Hyperlink"/>
          </w:rPr>
          <w:t>AoA: AGing Integrated Database</w:t>
        </w:r>
      </w:hyperlink>
      <w:r w:rsidRPr="00155D0B">
        <w:t>.</w:t>
      </w:r>
    </w:p>
  </w:footnote>
  <w:footnote w:id="94">
    <w:p w:rsidR="00853662" w:rsidRDefault="00853662" w:rsidP="00D72CC5">
      <w:pPr>
        <w:pStyle w:val="FootnoteText"/>
        <w:ind w:left="180" w:hanging="180"/>
      </w:pPr>
      <w:r>
        <w:rPr>
          <w:rStyle w:val="FootnoteReference"/>
        </w:rPr>
        <w:footnoteRef/>
      </w:r>
      <w:r>
        <w:t xml:space="preserve"> </w:t>
      </w:r>
      <w:r w:rsidRPr="00514FC2">
        <w:t xml:space="preserve">Mittelman, M., Ferris, S., Shulman, E., Steinberg, G., Levin, B. (1996). A family intervention to delay nursing home placement of patients with </w:t>
      </w:r>
      <w:r>
        <w:t>A</w:t>
      </w:r>
      <w:r w:rsidRPr="00514FC2">
        <w:t xml:space="preserve">lzheimer's disease - A randomized controlled trial. </w:t>
      </w:r>
      <w:r w:rsidRPr="00514FC2">
        <w:rPr>
          <w:i/>
          <w:iCs/>
        </w:rPr>
        <w:t>The Journal of the American Association</w:t>
      </w:r>
      <w:r w:rsidRPr="00514FC2">
        <w:t>, 276(21), 1725-1731.</w:t>
      </w:r>
    </w:p>
  </w:footnote>
  <w:footnote w:id="95">
    <w:p w:rsidR="00853662" w:rsidRDefault="00853662">
      <w:pPr>
        <w:pStyle w:val="FootnoteText"/>
      </w:pPr>
      <w:r>
        <w:rPr>
          <w:rStyle w:val="FootnoteReference"/>
        </w:rPr>
        <w:footnoteRef/>
      </w:r>
      <w:r>
        <w:t xml:space="preserve"> 2015</w:t>
      </w:r>
      <w:r w:rsidRPr="00155D0B">
        <w:t xml:space="preserve"> National Survey of Older Americans Act Participants.  </w:t>
      </w:r>
      <w:hyperlink r:id="rId31" w:history="1">
        <w:r w:rsidR="00D65A85">
          <w:rPr>
            <w:rStyle w:val="Hyperlink"/>
          </w:rPr>
          <w:t>AoA: AGing Integrated Database</w:t>
        </w:r>
      </w:hyperlink>
    </w:p>
  </w:footnote>
  <w:footnote w:id="96">
    <w:p w:rsidR="00853662" w:rsidRDefault="00853662">
      <w:pPr>
        <w:pStyle w:val="FootnoteText"/>
      </w:pPr>
      <w:r>
        <w:rPr>
          <w:rStyle w:val="FootnoteReference"/>
        </w:rPr>
        <w:footnoteRef/>
      </w:r>
      <w:r>
        <w:t xml:space="preserve"> </w:t>
      </w:r>
      <w:r w:rsidRPr="001361A9">
        <w:rPr>
          <w:i/>
        </w:rPr>
        <w:t>Ibid.</w:t>
      </w:r>
    </w:p>
  </w:footnote>
  <w:footnote w:id="97">
    <w:p w:rsidR="00853662" w:rsidRDefault="00853662" w:rsidP="00D14E07">
      <w:pPr>
        <w:pStyle w:val="CommentText"/>
      </w:pPr>
      <w:r>
        <w:rPr>
          <w:rStyle w:val="FootnoteReference"/>
        </w:rPr>
        <w:footnoteRef/>
      </w:r>
      <w:r>
        <w:t xml:space="preserve"> </w:t>
      </w:r>
      <w:hyperlink r:id="rId32" w:history="1">
        <w:r w:rsidR="00DC7FCB">
          <w:rPr>
            <w:rStyle w:val="Hyperlink"/>
          </w:rPr>
          <w:t>ASPE National Plan to Address Alzheimer's Disease: 2015 Update</w:t>
        </w:r>
      </w:hyperlink>
    </w:p>
    <w:p w:rsidR="00853662" w:rsidRDefault="00853662">
      <w:pPr>
        <w:pStyle w:val="FootnoteText"/>
      </w:pPr>
    </w:p>
  </w:footnote>
  <w:footnote w:id="98">
    <w:p w:rsidR="00853662" w:rsidRDefault="00853662" w:rsidP="005B1F0A">
      <w:pPr>
        <w:pStyle w:val="FootnoteText"/>
        <w:ind w:left="270" w:hanging="270"/>
      </w:pPr>
      <w:r w:rsidRPr="008B41EF">
        <w:rPr>
          <w:rStyle w:val="FootnoteReference"/>
        </w:rPr>
        <w:footnoteRef/>
      </w:r>
      <w:r>
        <w:t xml:space="preserve"> </w:t>
      </w:r>
      <w:r w:rsidRPr="005B1F0A">
        <w:t>U.S. Cens</w:t>
      </w:r>
      <w:r>
        <w:t xml:space="preserve">us Bureau, Population Division, Annual Estimates of the Resident Population by Sex, Single Year of Age, Race Alone or in Combination, and Hispanic Origin for the United States: April 1, 2010 to July 1, 2015 </w:t>
      </w:r>
      <w:r w:rsidRPr="005B1F0A">
        <w:t>Released June 201</w:t>
      </w:r>
      <w:r>
        <w:t>6</w:t>
      </w:r>
      <w:r w:rsidRPr="005B1F0A">
        <w:t>, acc</w:t>
      </w:r>
      <w:r>
        <w:t>essed November 2016.</w:t>
      </w:r>
    </w:p>
  </w:footnote>
  <w:footnote w:id="99">
    <w:p w:rsidR="00853662" w:rsidRDefault="00853662" w:rsidP="00D65129">
      <w:pPr>
        <w:pStyle w:val="FootnoteText"/>
        <w:ind w:left="270" w:hanging="270"/>
      </w:pPr>
      <w:r w:rsidRPr="008B41EF">
        <w:rPr>
          <w:rStyle w:val="FootnoteReference"/>
        </w:rPr>
        <w:footnoteRef/>
      </w:r>
      <w:r>
        <w:t xml:space="preserve"> U.S. Census Bureau, Population Division.</w:t>
      </w:r>
      <w:r w:rsidRPr="005C1339">
        <w:t>Annual Estimates of the Resident Population by Sex, Single Year of Age, Race, and Hispanic Origin for the United States: April 1, 2010 to July 1, 2015</w:t>
      </w:r>
      <w:r>
        <w:t xml:space="preserve">. Released June 2016. Accessed November 2016. </w:t>
      </w:r>
      <w:r w:rsidRPr="006D5003">
        <w:t xml:space="preserve"> </w:t>
      </w:r>
    </w:p>
  </w:footnote>
  <w:footnote w:id="100">
    <w:p w:rsidR="00853662" w:rsidRDefault="00853662" w:rsidP="00D65129">
      <w:pPr>
        <w:pStyle w:val="FootnoteText"/>
        <w:ind w:left="270" w:hanging="270"/>
      </w:pPr>
      <w:r>
        <w:rPr>
          <w:rStyle w:val="FootnoteReference"/>
        </w:rPr>
        <w:footnoteRef/>
      </w:r>
      <w:r>
        <w:t xml:space="preserve"> </w:t>
      </w:r>
      <w:r w:rsidRPr="00A227A6">
        <w:t>Administration on Aging, U.S. Population by Age: 65+ Minority Population Comparison using Census 2000 and Census 2010 (July 1, 2011).</w:t>
      </w:r>
    </w:p>
  </w:footnote>
  <w:footnote w:id="101">
    <w:p w:rsidR="00853662" w:rsidRDefault="00853662" w:rsidP="00D65129">
      <w:pPr>
        <w:pStyle w:val="FootnoteText"/>
        <w:ind w:left="270" w:hanging="270"/>
      </w:pPr>
      <w:r>
        <w:rPr>
          <w:rStyle w:val="FootnoteReference"/>
        </w:rPr>
        <w:footnoteRef/>
      </w:r>
      <w:r>
        <w:t xml:space="preserve"> </w:t>
      </w:r>
      <w:r w:rsidRPr="00A227A6">
        <w:t>National Council on Disability, “Understanding Disabilities in American Indian and Alaska Native Communities: Toolkit Guide” (2003).</w:t>
      </w:r>
    </w:p>
  </w:footnote>
  <w:footnote w:id="102">
    <w:p w:rsidR="00853662" w:rsidRDefault="00853662" w:rsidP="00D65129">
      <w:pPr>
        <w:pStyle w:val="FootnoteText"/>
        <w:ind w:left="270" w:hanging="270"/>
      </w:pPr>
      <w:r>
        <w:rPr>
          <w:rStyle w:val="FootnoteReference"/>
        </w:rPr>
        <w:footnoteRef/>
      </w:r>
      <w:r>
        <w:t xml:space="preserve"> </w:t>
      </w:r>
      <w:r w:rsidRPr="00A227A6">
        <w:t>Centers for Disease Control and Prevention, “CDC Health Disparities and Inequalities Report – United States” (2013).</w:t>
      </w:r>
    </w:p>
  </w:footnote>
  <w:footnote w:id="103">
    <w:p w:rsidR="00853662" w:rsidRDefault="00853662" w:rsidP="00477C3F">
      <w:pPr>
        <w:pStyle w:val="FootnoteText"/>
        <w:ind w:left="270" w:hanging="270"/>
      </w:pPr>
      <w:r w:rsidRPr="00415F60">
        <w:rPr>
          <w:rStyle w:val="FootnoteReference"/>
        </w:rPr>
        <w:footnoteRef/>
      </w:r>
      <w:r w:rsidRPr="00415F60">
        <w:t xml:space="preserve"> .</w:t>
      </w:r>
      <w:r>
        <w:t>AoA’s FY 201 Title VI</w:t>
      </w:r>
      <w:r w:rsidRPr="00D75E8B">
        <w:t xml:space="preserve"> Program Report. </w:t>
      </w:r>
      <w:r>
        <w:t xml:space="preserve"> </w:t>
      </w:r>
      <w:r w:rsidRPr="00415F60">
        <w:t>Title VI of the Older Americans Act permits tribes to establish age of eligibility for services below age 60.</w:t>
      </w:r>
      <w:r>
        <w:t xml:space="preserve">  Calculation based on eligible </w:t>
      </w:r>
      <w:r w:rsidRPr="00415F60">
        <w:t>population as reported in grantee applications</w:t>
      </w:r>
      <w:r>
        <w:t xml:space="preserve"> </w:t>
      </w:r>
    </w:p>
  </w:footnote>
  <w:footnote w:id="104">
    <w:p w:rsidR="00853662" w:rsidRDefault="00853662" w:rsidP="00B372C0">
      <w:pPr>
        <w:pStyle w:val="FootnoteText"/>
      </w:pPr>
      <w:r>
        <w:rPr>
          <w:rStyle w:val="FootnoteReference"/>
        </w:rPr>
        <w:footnoteRef/>
      </w:r>
      <w:r>
        <w:t xml:space="preserve"> AoA’s FY 2015 Title VI Program Report.</w:t>
      </w:r>
    </w:p>
  </w:footnote>
  <w:footnote w:id="105">
    <w:p w:rsidR="00853662" w:rsidRDefault="00853662">
      <w:pPr>
        <w:pStyle w:val="FootnoteText"/>
      </w:pPr>
      <w:r>
        <w:rPr>
          <w:rStyle w:val="FootnoteReference"/>
        </w:rPr>
        <w:footnoteRef/>
      </w:r>
      <w:r>
        <w:t xml:space="preserve"> Ibid.</w:t>
      </w:r>
    </w:p>
  </w:footnote>
  <w:footnote w:id="106">
    <w:p w:rsidR="00853662" w:rsidRDefault="00853662" w:rsidP="00597608">
      <w:pPr>
        <w:pStyle w:val="FootnoteText"/>
        <w:ind w:left="270" w:hanging="270"/>
      </w:pPr>
      <w:r>
        <w:rPr>
          <w:rStyle w:val="FootnoteReference"/>
        </w:rPr>
        <w:footnoteRef/>
      </w:r>
      <w:r>
        <w:t xml:space="preserve"> Teaster, Pamela, et al. </w:t>
      </w:r>
      <w:r>
        <w:rPr>
          <w:i/>
        </w:rPr>
        <w:t>The 2004 Survey of State Adult Protective Services: Abuse of Adults 60 Years of Age and Older</w:t>
      </w:r>
      <w:r>
        <w:t xml:space="preserve">. </w:t>
      </w:r>
      <w:r w:rsidRPr="001931EA">
        <w:t>http://www.ncea.aoa.gov/NCEAroot/Main_Site/pdf/2-14-06%20FINAL%2060+REPORT.pdf</w:t>
      </w:r>
      <w:r>
        <w:t xml:space="preserve"> </w:t>
      </w:r>
    </w:p>
  </w:footnote>
  <w:footnote w:id="107">
    <w:p w:rsidR="00853662" w:rsidRDefault="00853662" w:rsidP="00597608">
      <w:pPr>
        <w:pStyle w:val="FootnoteText"/>
        <w:ind w:left="270" w:hanging="270"/>
      </w:pPr>
      <w:r>
        <w:rPr>
          <w:rStyle w:val="FootnoteReference"/>
        </w:rPr>
        <w:footnoteRef/>
      </w:r>
      <w:r>
        <w:t xml:space="preserve">  Tatara, Toshio, et al. </w:t>
      </w:r>
      <w:r>
        <w:rPr>
          <w:i/>
        </w:rPr>
        <w:t>The National Elder Abuse Incidence Study Final Report</w:t>
      </w:r>
      <w:r>
        <w:t xml:space="preserve">. 1998. </w:t>
      </w:r>
      <w:r w:rsidRPr="001931EA">
        <w:t>http://www.aoa.gov/AoARoot/AoA_Programs/Elder_Rights/Elder_Abuse/docs/ABuseReport_Full.pdf</w:t>
      </w:r>
      <w:r>
        <w:t xml:space="preserve"> </w:t>
      </w:r>
    </w:p>
  </w:footnote>
  <w:footnote w:id="108">
    <w:p w:rsidR="00853662" w:rsidRDefault="00853662" w:rsidP="00597608">
      <w:pPr>
        <w:pStyle w:val="EndnoteText"/>
        <w:ind w:left="270" w:hanging="270"/>
        <w:jc w:val="both"/>
      </w:pPr>
      <w:r>
        <w:rPr>
          <w:rStyle w:val="FootnoteReference"/>
        </w:rPr>
        <w:footnoteRef/>
      </w:r>
      <w:r>
        <w:t xml:space="preserve"> Lachs, M.S., Williams, C.S., O'Brien, S., Pillemer, K.A., &amp; Charlson, M.E. (1998). “The Mortality of Elder Mistreatment.” JAMA. 280: 428-432. and Baker, M.W. (2007). “Elder Mistreatment: Risk, Vulnerability, and Early Mortality.”  Journal of the American Psychiatric Nurses Association, Vol. 12, No. 6, 313-321. </w:t>
      </w:r>
    </w:p>
  </w:footnote>
  <w:footnote w:id="109">
    <w:p w:rsidR="00853662" w:rsidRDefault="00853662" w:rsidP="00597608">
      <w:pPr>
        <w:pStyle w:val="EndnoteText"/>
        <w:ind w:left="270" w:hanging="270"/>
        <w:jc w:val="both"/>
      </w:pPr>
      <w:r>
        <w:rPr>
          <w:rStyle w:val="FootnoteReference"/>
        </w:rPr>
        <w:footnoteRef/>
      </w:r>
      <w:r>
        <w:t xml:space="preserve"> Lachs M. S., Williams C., O'Brien S., Hurst L., Kossack A., Siegal A., et al. (1997). “ED use by older victims of family violence.” Annals of Emergency Medicine. 30:448-454.</w:t>
      </w:r>
    </w:p>
  </w:footnote>
  <w:footnote w:id="110">
    <w:p w:rsidR="00853662" w:rsidRDefault="00853662" w:rsidP="00FB1981">
      <w:pPr>
        <w:pStyle w:val="FootnoteText"/>
      </w:pPr>
      <w:r>
        <w:rPr>
          <w:rStyle w:val="FootnoteReference"/>
        </w:rPr>
        <w:footnoteRef/>
      </w:r>
      <w:r>
        <w:t xml:space="preserve"> Minority refers to individuals who self-report at least one of the following racial or ethnic identities: Asian, Black or African American, Hispanic or Latino, Native Hawaiian or other Pacific Islander, American Indian or Alaska Native.</w:t>
      </w:r>
    </w:p>
    <w:p w:rsidR="00853662" w:rsidRDefault="00853662" w:rsidP="00FB1981">
      <w:pPr>
        <w:pStyle w:val="FootnoteText"/>
      </w:pPr>
    </w:p>
  </w:footnote>
  <w:footnote w:id="111">
    <w:p w:rsidR="00853662" w:rsidRDefault="00853662" w:rsidP="00E264D2">
      <w:pPr>
        <w:pStyle w:val="FootnoteText"/>
      </w:pPr>
      <w:r>
        <w:rPr>
          <w:rStyle w:val="FootnoteReference"/>
        </w:rPr>
        <w:footnoteRef/>
      </w:r>
      <w:r>
        <w:t xml:space="preserve"> </w:t>
      </w:r>
      <w:r w:rsidRPr="006A2C3A">
        <w:t xml:space="preserve">This amount reflects Title VII-2 designated as Ombudsman Program Activity funds.  States also utilize other </w:t>
      </w:r>
      <w:r w:rsidRPr="00483969">
        <w:t xml:space="preserve">Older Americans Act and other funding sources to operate the Ombudsman program (see Figure </w:t>
      </w:r>
      <w:r w:rsidRPr="008249ED">
        <w:t>1, on  page</w:t>
      </w:r>
      <w:r>
        <w:t xml:space="preserve"> 51</w:t>
      </w:r>
      <w:r w:rsidRPr="008249ED">
        <w:t xml:space="preserve"> ) .</w:t>
      </w:r>
    </w:p>
  </w:footnote>
  <w:footnote w:id="112">
    <w:p w:rsidR="00853662" w:rsidRDefault="00853662" w:rsidP="00E264D2">
      <w:pPr>
        <w:pStyle w:val="FootnoteText"/>
      </w:pPr>
      <w:r>
        <w:rPr>
          <w:rStyle w:val="FootnoteReference"/>
        </w:rPr>
        <w:footnoteRef/>
      </w:r>
      <w:r>
        <w:t xml:space="preserve"> </w:t>
      </w:r>
      <w:r w:rsidRPr="006A2C3A">
        <w:t>“Real People, Real Problems:  An Evaluation of the Long-Term Care Ombudsman Program of the Older Americans Act,” IOM (1995)</w:t>
      </w:r>
    </w:p>
  </w:footnote>
  <w:footnote w:id="113">
    <w:p w:rsidR="00853662" w:rsidRDefault="00853662" w:rsidP="00E264D2">
      <w:pPr>
        <w:pStyle w:val="FootnoteText"/>
      </w:pPr>
      <w:r>
        <w:rPr>
          <w:rStyle w:val="FootnoteReference"/>
        </w:rPr>
        <w:footnoteRef/>
      </w:r>
      <w:r>
        <w:t xml:space="preserve"> </w:t>
      </w:r>
      <w:hyperlink r:id="rId33" w:history="1">
        <w:r w:rsidR="005F3E35">
          <w:rPr>
            <w:rStyle w:val="Hyperlink"/>
          </w:rPr>
          <w:t>Evaluation Study Design for Long-Term Care Ombudsman Programs under the Older Americans Act: Research Design Options</w:t>
        </w:r>
      </w:hyperlink>
      <w:r>
        <w:t xml:space="preserve">. </w:t>
      </w:r>
    </w:p>
  </w:footnote>
  <w:footnote w:id="114">
    <w:p w:rsidR="00853662" w:rsidRDefault="00853662" w:rsidP="00E264D2">
      <w:pPr>
        <w:pStyle w:val="FootnoteText"/>
      </w:pPr>
      <w:r>
        <w:rPr>
          <w:rStyle w:val="FootnoteReference"/>
        </w:rPr>
        <w:footnoteRef/>
      </w:r>
      <w:r>
        <w:t xml:space="preserve"> </w:t>
      </w:r>
      <w:r w:rsidRPr="00623062">
        <w:t>National Ombudsman Reporting System (NORS) is the source for this and other data in this section. NORS data is reported annually by states to ACL.</w:t>
      </w:r>
    </w:p>
  </w:footnote>
  <w:footnote w:id="115">
    <w:p w:rsidR="00853662" w:rsidRDefault="00853662" w:rsidP="00E264D2">
      <w:pPr>
        <w:pStyle w:val="FootnoteText"/>
      </w:pPr>
      <w:r>
        <w:rPr>
          <w:rStyle w:val="FootnoteReference"/>
        </w:rPr>
        <w:footnoteRef/>
      </w:r>
      <w:r>
        <w:t xml:space="preserve"> </w:t>
      </w:r>
      <w:r w:rsidRPr="00623062">
        <w:t>In FY 201</w:t>
      </w:r>
      <w:r>
        <w:t>5</w:t>
      </w:r>
      <w:r w:rsidRPr="00623062">
        <w:t>, ombudsmen opened 1</w:t>
      </w:r>
      <w:r>
        <w:t>31</w:t>
      </w:r>
      <w:r w:rsidRPr="00623062">
        <w:t>,</w:t>
      </w:r>
      <w:r>
        <w:t>438</w:t>
      </w:r>
      <w:r w:rsidRPr="00623062">
        <w:t xml:space="preserve"> new cases (a case contains one or more complaints originating from the same person(s)), and completed resolution work on 12</w:t>
      </w:r>
      <w:r>
        <w:t>9</w:t>
      </w:r>
      <w:r w:rsidRPr="00623062">
        <w:t>,</w:t>
      </w:r>
      <w:r>
        <w:t>559</w:t>
      </w:r>
      <w:r w:rsidRPr="00623062">
        <w:t xml:space="preserve"> closed cases, containing 19</w:t>
      </w:r>
      <w:r>
        <w:t>9</w:t>
      </w:r>
      <w:r w:rsidRPr="00623062">
        <w:t>,</w:t>
      </w:r>
      <w:r>
        <w:t>238</w:t>
      </w:r>
      <w:r w:rsidRPr="00623062">
        <w:t xml:space="preserve"> complaints.</w:t>
      </w:r>
    </w:p>
  </w:footnote>
  <w:footnote w:id="116">
    <w:p w:rsidR="00853662" w:rsidRDefault="00853662" w:rsidP="00E264D2">
      <w:pPr>
        <w:pStyle w:val="FootnoteText"/>
      </w:pPr>
      <w:r>
        <w:rPr>
          <w:rStyle w:val="FootnoteReference"/>
        </w:rPr>
        <w:footnoteRef/>
      </w:r>
      <w:r>
        <w:t xml:space="preserve"> </w:t>
      </w:r>
      <w:r w:rsidRPr="008D04B1">
        <w:t>NORS complaint categories included in this total: A4 (Financial exploitation), A38 (Personal property lost, stolen, used by others, etc.); P121 (Financial exploitation or neglect by family or other not affiliated with facility).</w:t>
      </w:r>
    </w:p>
  </w:footnote>
  <w:footnote w:id="117">
    <w:p w:rsidR="00853662" w:rsidRDefault="00853662" w:rsidP="00E264D2">
      <w:pPr>
        <w:pStyle w:val="FootnoteText"/>
      </w:pPr>
      <w:r>
        <w:rPr>
          <w:rStyle w:val="FootnoteReference"/>
        </w:rPr>
        <w:footnoteRef/>
      </w:r>
      <w:r>
        <w:t xml:space="preserve"> </w:t>
      </w:r>
      <w:r w:rsidRPr="00AE32F0">
        <w:t>The Independent Sector places the value of the volunteer time at $2</w:t>
      </w:r>
      <w:r>
        <w:t>3</w:t>
      </w:r>
      <w:r w:rsidRPr="00AE32F0">
        <w:t>.5</w:t>
      </w:r>
      <w:r>
        <w:t>6</w:t>
      </w:r>
      <w:r w:rsidRPr="00AE32F0">
        <w:t xml:space="preserve"> per hour placing the value of 7</w:t>
      </w:r>
      <w:r>
        <w:t>0</w:t>
      </w:r>
      <w:r w:rsidRPr="00AE32F0">
        <w:t>8,</w:t>
      </w:r>
      <w:r>
        <w:t>322</w:t>
      </w:r>
      <w:r w:rsidRPr="00AE32F0">
        <w:t xml:space="preserve"> hours at $1</w:t>
      </w:r>
      <w:r>
        <w:t>6</w:t>
      </w:r>
      <w:r w:rsidRPr="00AE32F0">
        <w:t>,</w:t>
      </w:r>
      <w:r>
        <w:t>688</w:t>
      </w:r>
      <w:r w:rsidRPr="00AE32F0">
        <w:t>,</w:t>
      </w:r>
      <w:r>
        <w:t>076</w:t>
      </w:r>
      <w:r w:rsidRPr="00AE32F0">
        <w:t>.</w:t>
      </w:r>
    </w:p>
  </w:footnote>
  <w:footnote w:id="118">
    <w:p w:rsidR="00853662" w:rsidRPr="00E24A31" w:rsidRDefault="00853662" w:rsidP="00E24A31">
      <w:pPr>
        <w:rPr>
          <w:sz w:val="20"/>
          <w:szCs w:val="20"/>
        </w:rPr>
      </w:pPr>
      <w:r>
        <w:rPr>
          <w:rStyle w:val="FootnoteReference"/>
        </w:rPr>
        <w:footnoteRef/>
      </w:r>
      <w:r>
        <w:t xml:space="preserve"> </w:t>
      </w:r>
      <w:r w:rsidRPr="00E24A31">
        <w:rPr>
          <w:sz w:val="20"/>
          <w:szCs w:val="20"/>
        </w:rPr>
        <w:t>In a “No Wrong Door” entry system, multiple agencies retain responsibility for their respective services while coordinating with each other to integrate access to those services through a single, standardized entry process that is administered and overseen by a coordinating entity (Allison Armor-Garb, Point of Entry Systems for Long-Term Care: State Case Studies, prepared for the New York City Department of Aging, 2004).</w:t>
      </w:r>
    </w:p>
    <w:p w:rsidR="00853662" w:rsidRDefault="0085366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62" w:rsidRPr="00933C9B" w:rsidRDefault="00853662" w:rsidP="00933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20669FE"/>
    <w:lvl w:ilvl="0">
      <w:start w:val="1"/>
      <w:numFmt w:val="lowerLetter"/>
      <w:pStyle w:val="ListBullet"/>
      <w:lvlText w:val="%1."/>
      <w:lvlJc w:val="left"/>
      <w:pPr>
        <w:ind w:left="720" w:hanging="360"/>
      </w:pPr>
    </w:lvl>
  </w:abstractNum>
  <w:abstractNum w:abstractNumId="1">
    <w:nsid w:val="FFFFFF83"/>
    <w:multiLevelType w:val="singleLevel"/>
    <w:tmpl w:val="2AEAB9D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24D67E72"/>
    <w:lvl w:ilvl="0">
      <w:start w:val="1"/>
      <w:numFmt w:val="bullet"/>
      <w:pStyle w:val="ListBullet3"/>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8CA695D"/>
    <w:multiLevelType w:val="hybridMultilevel"/>
    <w:tmpl w:val="2C40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31BDB"/>
    <w:multiLevelType w:val="hybridMultilevel"/>
    <w:tmpl w:val="0F3E1F36"/>
    <w:lvl w:ilvl="0" w:tplc="04090001">
      <w:start w:val="1"/>
      <w:numFmt w:val="bullet"/>
      <w:lvlText w:val=""/>
      <w:lvlJc w:val="left"/>
      <w:pPr>
        <w:ind w:left="1440" w:hanging="360"/>
      </w:pPr>
      <w:rPr>
        <w:rFonts w:ascii="Symbol" w:hAnsi="Symbol" w:hint="default"/>
      </w:rPr>
    </w:lvl>
    <w:lvl w:ilvl="1" w:tplc="15CED47E">
      <w:start w:val="75"/>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F15A3D"/>
    <w:multiLevelType w:val="hybridMultilevel"/>
    <w:tmpl w:val="BB5C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E37DC"/>
    <w:multiLevelType w:val="hybridMultilevel"/>
    <w:tmpl w:val="FAF8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909F6"/>
    <w:multiLevelType w:val="hybridMultilevel"/>
    <w:tmpl w:val="6982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7346"/>
    <w:multiLevelType w:val="hybridMultilevel"/>
    <w:tmpl w:val="4C0013E8"/>
    <w:lvl w:ilvl="0" w:tplc="F74E3734">
      <w:start w:val="1"/>
      <w:numFmt w:val="decimal"/>
      <w:pStyle w:val="NumberTable"/>
      <w:lvlText w:val="%1)"/>
      <w:lvlJc w:val="left"/>
      <w:pPr>
        <w:tabs>
          <w:tab w:val="num" w:pos="216"/>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802007"/>
    <w:multiLevelType w:val="hybridMultilevel"/>
    <w:tmpl w:val="E1D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B1E08"/>
    <w:multiLevelType w:val="hybridMultilevel"/>
    <w:tmpl w:val="A8D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62848"/>
    <w:multiLevelType w:val="hybridMultilevel"/>
    <w:tmpl w:val="08608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C15E44"/>
    <w:multiLevelType w:val="hybridMultilevel"/>
    <w:tmpl w:val="4A7C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E3D70"/>
    <w:multiLevelType w:val="hybridMultilevel"/>
    <w:tmpl w:val="3D50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316D0"/>
    <w:multiLevelType w:val="hybridMultilevel"/>
    <w:tmpl w:val="3084B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025D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FB73A78"/>
    <w:multiLevelType w:val="hybridMultilevel"/>
    <w:tmpl w:val="F03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C02B7D"/>
    <w:multiLevelType w:val="hybridMultilevel"/>
    <w:tmpl w:val="F6C6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33732"/>
    <w:multiLevelType w:val="hybridMultilevel"/>
    <w:tmpl w:val="71E2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82551"/>
    <w:multiLevelType w:val="hybridMultilevel"/>
    <w:tmpl w:val="ACD0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D2820"/>
    <w:multiLevelType w:val="hybridMultilevel"/>
    <w:tmpl w:val="AF52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46F89"/>
    <w:multiLevelType w:val="hybridMultilevel"/>
    <w:tmpl w:val="9D486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11F55"/>
    <w:multiLevelType w:val="hybridMultilevel"/>
    <w:tmpl w:val="E1AA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B7FA7"/>
    <w:multiLevelType w:val="hybridMultilevel"/>
    <w:tmpl w:val="E38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364A2"/>
    <w:multiLevelType w:val="hybridMultilevel"/>
    <w:tmpl w:val="C848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D33AC3"/>
    <w:multiLevelType w:val="hybridMultilevel"/>
    <w:tmpl w:val="015C9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360AB9"/>
    <w:multiLevelType w:val="hybridMultilevel"/>
    <w:tmpl w:val="885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B4D4C"/>
    <w:multiLevelType w:val="hybridMultilevel"/>
    <w:tmpl w:val="F4B8D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7E1FF1"/>
    <w:multiLevelType w:val="hybridMultilevel"/>
    <w:tmpl w:val="BE1E3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28"/>
  </w:num>
  <w:num w:numId="5">
    <w:abstractNumId w:val="12"/>
  </w:num>
  <w:num w:numId="6">
    <w:abstractNumId w:val="26"/>
  </w:num>
  <w:num w:numId="7">
    <w:abstractNumId w:val="16"/>
  </w:num>
  <w:num w:numId="8">
    <w:abstractNumId w:val="9"/>
  </w:num>
  <w:num w:numId="9">
    <w:abstractNumId w:val="25"/>
  </w:num>
  <w:num w:numId="10">
    <w:abstractNumId w:val="27"/>
  </w:num>
  <w:num w:numId="11">
    <w:abstractNumId w:val="22"/>
  </w:num>
  <w:num w:numId="12">
    <w:abstractNumId w:val="5"/>
  </w:num>
  <w:num w:numId="13">
    <w:abstractNumId w:val="29"/>
  </w:num>
  <w:num w:numId="14">
    <w:abstractNumId w:val="21"/>
  </w:num>
  <w:num w:numId="15">
    <w:abstractNumId w:val="15"/>
  </w:num>
  <w:num w:numId="16">
    <w:abstractNumId w:val="13"/>
  </w:num>
  <w:num w:numId="17">
    <w:abstractNumId w:val="10"/>
  </w:num>
  <w:num w:numId="18">
    <w:abstractNumId w:val="6"/>
  </w:num>
  <w:num w:numId="19">
    <w:abstractNumId w:val="11"/>
  </w:num>
  <w:num w:numId="20">
    <w:abstractNumId w:val="4"/>
  </w:num>
  <w:num w:numId="21">
    <w:abstractNumId w:val="23"/>
  </w:num>
  <w:num w:numId="22">
    <w:abstractNumId w:val="19"/>
  </w:num>
  <w:num w:numId="23">
    <w:abstractNumId w:val="17"/>
  </w:num>
  <w:num w:numId="24">
    <w:abstractNumId w:val="8"/>
  </w:num>
  <w:num w:numId="25">
    <w:abstractNumId w:val="14"/>
  </w:num>
  <w:num w:numId="26">
    <w:abstractNumId w:val="7"/>
  </w:num>
  <w:num w:numId="27">
    <w:abstractNumId w:val="24"/>
  </w:num>
  <w:num w:numId="28">
    <w:abstractNumId w:val="18"/>
  </w:num>
  <w:num w:numId="2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TrackFormatting/>
  <w:documentProtection w:edit="readOnly" w:enforcement="1" w:cryptProviderType="rsaFull" w:cryptAlgorithmClass="hash" w:cryptAlgorithmType="typeAny" w:cryptAlgorithmSid="4" w:cryptSpinCount="100000" w:hash="uSUIM6+tFK/RLz4awrjnKXHicVg=" w:salt="Q6sJuRFlpuCfHOZ8eJ1MlQ=="/>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E7"/>
    <w:rsid w:val="00000216"/>
    <w:rsid w:val="000003CA"/>
    <w:rsid w:val="00001663"/>
    <w:rsid w:val="00002098"/>
    <w:rsid w:val="00002F5C"/>
    <w:rsid w:val="00003495"/>
    <w:rsid w:val="000035BC"/>
    <w:rsid w:val="00006334"/>
    <w:rsid w:val="00006930"/>
    <w:rsid w:val="00007259"/>
    <w:rsid w:val="00010ADB"/>
    <w:rsid w:val="00010CA5"/>
    <w:rsid w:val="0001315B"/>
    <w:rsid w:val="00013AB5"/>
    <w:rsid w:val="000141F1"/>
    <w:rsid w:val="000144FC"/>
    <w:rsid w:val="0001487F"/>
    <w:rsid w:val="00014887"/>
    <w:rsid w:val="0001606D"/>
    <w:rsid w:val="00016B09"/>
    <w:rsid w:val="00016EC5"/>
    <w:rsid w:val="0001743F"/>
    <w:rsid w:val="0001752C"/>
    <w:rsid w:val="00017FF3"/>
    <w:rsid w:val="00022566"/>
    <w:rsid w:val="000225DE"/>
    <w:rsid w:val="00024662"/>
    <w:rsid w:val="0002617C"/>
    <w:rsid w:val="0002634E"/>
    <w:rsid w:val="00026949"/>
    <w:rsid w:val="00026D81"/>
    <w:rsid w:val="000275AE"/>
    <w:rsid w:val="00030387"/>
    <w:rsid w:val="00030934"/>
    <w:rsid w:val="00032421"/>
    <w:rsid w:val="00033464"/>
    <w:rsid w:val="00034166"/>
    <w:rsid w:val="00034341"/>
    <w:rsid w:val="00034820"/>
    <w:rsid w:val="00035415"/>
    <w:rsid w:val="00041BA0"/>
    <w:rsid w:val="000422FC"/>
    <w:rsid w:val="00043F32"/>
    <w:rsid w:val="00043F44"/>
    <w:rsid w:val="00044269"/>
    <w:rsid w:val="00044305"/>
    <w:rsid w:val="000468FF"/>
    <w:rsid w:val="00051B22"/>
    <w:rsid w:val="00052A93"/>
    <w:rsid w:val="00056329"/>
    <w:rsid w:val="00056D99"/>
    <w:rsid w:val="0006197A"/>
    <w:rsid w:val="00061F4B"/>
    <w:rsid w:val="00062C53"/>
    <w:rsid w:val="00063C42"/>
    <w:rsid w:val="00065776"/>
    <w:rsid w:val="00066763"/>
    <w:rsid w:val="000701DB"/>
    <w:rsid w:val="00070343"/>
    <w:rsid w:val="00071003"/>
    <w:rsid w:val="00073463"/>
    <w:rsid w:val="00073EF9"/>
    <w:rsid w:val="0007460A"/>
    <w:rsid w:val="000760C8"/>
    <w:rsid w:val="000807DC"/>
    <w:rsid w:val="000816BA"/>
    <w:rsid w:val="00083CB6"/>
    <w:rsid w:val="0008401C"/>
    <w:rsid w:val="0008456C"/>
    <w:rsid w:val="000855BF"/>
    <w:rsid w:val="00085D3C"/>
    <w:rsid w:val="00086B4A"/>
    <w:rsid w:val="00090427"/>
    <w:rsid w:val="000904D5"/>
    <w:rsid w:val="000910F8"/>
    <w:rsid w:val="00093575"/>
    <w:rsid w:val="00097A5A"/>
    <w:rsid w:val="00097EA3"/>
    <w:rsid w:val="000A0E4E"/>
    <w:rsid w:val="000A1E79"/>
    <w:rsid w:val="000A2F47"/>
    <w:rsid w:val="000A403A"/>
    <w:rsid w:val="000A6766"/>
    <w:rsid w:val="000B0EB1"/>
    <w:rsid w:val="000B402A"/>
    <w:rsid w:val="000B5087"/>
    <w:rsid w:val="000B728B"/>
    <w:rsid w:val="000B76B6"/>
    <w:rsid w:val="000C00E5"/>
    <w:rsid w:val="000C2425"/>
    <w:rsid w:val="000C24A7"/>
    <w:rsid w:val="000C2CCF"/>
    <w:rsid w:val="000C3EFA"/>
    <w:rsid w:val="000C5D82"/>
    <w:rsid w:val="000C5FE0"/>
    <w:rsid w:val="000C6A45"/>
    <w:rsid w:val="000D121F"/>
    <w:rsid w:val="000D23EF"/>
    <w:rsid w:val="000D3D91"/>
    <w:rsid w:val="000D5A12"/>
    <w:rsid w:val="000D71E9"/>
    <w:rsid w:val="000D77EC"/>
    <w:rsid w:val="000D7A0B"/>
    <w:rsid w:val="000E03E2"/>
    <w:rsid w:val="000E0C66"/>
    <w:rsid w:val="000E1831"/>
    <w:rsid w:val="000E1ACE"/>
    <w:rsid w:val="000E2668"/>
    <w:rsid w:val="000E2982"/>
    <w:rsid w:val="000E3308"/>
    <w:rsid w:val="000F2129"/>
    <w:rsid w:val="000F235A"/>
    <w:rsid w:val="000F34AD"/>
    <w:rsid w:val="000F431F"/>
    <w:rsid w:val="000F5321"/>
    <w:rsid w:val="000F5A06"/>
    <w:rsid w:val="000F6359"/>
    <w:rsid w:val="000F6679"/>
    <w:rsid w:val="000F7301"/>
    <w:rsid w:val="000F7881"/>
    <w:rsid w:val="000F79B6"/>
    <w:rsid w:val="001011D6"/>
    <w:rsid w:val="0010126A"/>
    <w:rsid w:val="00101989"/>
    <w:rsid w:val="001025B0"/>
    <w:rsid w:val="001033AE"/>
    <w:rsid w:val="001064E5"/>
    <w:rsid w:val="00111FC7"/>
    <w:rsid w:val="00114974"/>
    <w:rsid w:val="00114A4B"/>
    <w:rsid w:val="00116969"/>
    <w:rsid w:val="00117026"/>
    <w:rsid w:val="0011772C"/>
    <w:rsid w:val="001211E2"/>
    <w:rsid w:val="00122A24"/>
    <w:rsid w:val="00123E98"/>
    <w:rsid w:val="001271EA"/>
    <w:rsid w:val="00127DCF"/>
    <w:rsid w:val="001306AA"/>
    <w:rsid w:val="00131936"/>
    <w:rsid w:val="0013227D"/>
    <w:rsid w:val="0013273B"/>
    <w:rsid w:val="0013428D"/>
    <w:rsid w:val="0013582A"/>
    <w:rsid w:val="001361A9"/>
    <w:rsid w:val="00136E4A"/>
    <w:rsid w:val="00141DC2"/>
    <w:rsid w:val="00142939"/>
    <w:rsid w:val="00143347"/>
    <w:rsid w:val="001448BA"/>
    <w:rsid w:val="00144D47"/>
    <w:rsid w:val="00145239"/>
    <w:rsid w:val="00150425"/>
    <w:rsid w:val="00150DF7"/>
    <w:rsid w:val="00154466"/>
    <w:rsid w:val="00155744"/>
    <w:rsid w:val="00155D0B"/>
    <w:rsid w:val="00156968"/>
    <w:rsid w:val="00157D52"/>
    <w:rsid w:val="00157F83"/>
    <w:rsid w:val="0016013D"/>
    <w:rsid w:val="00161E3A"/>
    <w:rsid w:val="001635D6"/>
    <w:rsid w:val="00163AAA"/>
    <w:rsid w:val="00163CBA"/>
    <w:rsid w:val="001655CB"/>
    <w:rsid w:val="001662BB"/>
    <w:rsid w:val="001662F8"/>
    <w:rsid w:val="00171F00"/>
    <w:rsid w:val="00172CFA"/>
    <w:rsid w:val="0017349F"/>
    <w:rsid w:val="0017350B"/>
    <w:rsid w:val="001736FA"/>
    <w:rsid w:val="00176149"/>
    <w:rsid w:val="00176E54"/>
    <w:rsid w:val="00177E48"/>
    <w:rsid w:val="00180F2D"/>
    <w:rsid w:val="001818BA"/>
    <w:rsid w:val="00181D1E"/>
    <w:rsid w:val="001837D1"/>
    <w:rsid w:val="001837D4"/>
    <w:rsid w:val="00183EF5"/>
    <w:rsid w:val="00185723"/>
    <w:rsid w:val="00185A02"/>
    <w:rsid w:val="00185F7F"/>
    <w:rsid w:val="001860D1"/>
    <w:rsid w:val="00186F08"/>
    <w:rsid w:val="00190149"/>
    <w:rsid w:val="00190D79"/>
    <w:rsid w:val="001934B8"/>
    <w:rsid w:val="00193947"/>
    <w:rsid w:val="00194F83"/>
    <w:rsid w:val="0019531D"/>
    <w:rsid w:val="00195DB7"/>
    <w:rsid w:val="00197212"/>
    <w:rsid w:val="001A0234"/>
    <w:rsid w:val="001A27A0"/>
    <w:rsid w:val="001A44FC"/>
    <w:rsid w:val="001A5009"/>
    <w:rsid w:val="001A5CCF"/>
    <w:rsid w:val="001B00DA"/>
    <w:rsid w:val="001B6114"/>
    <w:rsid w:val="001B6811"/>
    <w:rsid w:val="001B6FD1"/>
    <w:rsid w:val="001B7B7E"/>
    <w:rsid w:val="001C0216"/>
    <w:rsid w:val="001C03D2"/>
    <w:rsid w:val="001C06AC"/>
    <w:rsid w:val="001C0CA6"/>
    <w:rsid w:val="001C1FA4"/>
    <w:rsid w:val="001C2A20"/>
    <w:rsid w:val="001C3629"/>
    <w:rsid w:val="001C4550"/>
    <w:rsid w:val="001C7F79"/>
    <w:rsid w:val="001D120F"/>
    <w:rsid w:val="001D33CB"/>
    <w:rsid w:val="001D3CBD"/>
    <w:rsid w:val="001D42D0"/>
    <w:rsid w:val="001D47A8"/>
    <w:rsid w:val="001D5848"/>
    <w:rsid w:val="001D5892"/>
    <w:rsid w:val="001D636A"/>
    <w:rsid w:val="001E0B0B"/>
    <w:rsid w:val="001E200C"/>
    <w:rsid w:val="001E5068"/>
    <w:rsid w:val="001E5594"/>
    <w:rsid w:val="001E7737"/>
    <w:rsid w:val="001F2D58"/>
    <w:rsid w:val="001F370A"/>
    <w:rsid w:val="001F3B55"/>
    <w:rsid w:val="001F5FC4"/>
    <w:rsid w:val="001F74BC"/>
    <w:rsid w:val="001F792B"/>
    <w:rsid w:val="00204310"/>
    <w:rsid w:val="00205192"/>
    <w:rsid w:val="00206976"/>
    <w:rsid w:val="00206E84"/>
    <w:rsid w:val="00210B84"/>
    <w:rsid w:val="00211E55"/>
    <w:rsid w:val="00214397"/>
    <w:rsid w:val="002144F3"/>
    <w:rsid w:val="0021491E"/>
    <w:rsid w:val="00216AA0"/>
    <w:rsid w:val="002175EF"/>
    <w:rsid w:val="00217756"/>
    <w:rsid w:val="0021795A"/>
    <w:rsid w:val="0022079F"/>
    <w:rsid w:val="00224868"/>
    <w:rsid w:val="002271BB"/>
    <w:rsid w:val="00230E90"/>
    <w:rsid w:val="00233B16"/>
    <w:rsid w:val="002417B3"/>
    <w:rsid w:val="0024200A"/>
    <w:rsid w:val="002433A0"/>
    <w:rsid w:val="00244075"/>
    <w:rsid w:val="00245223"/>
    <w:rsid w:val="0024663A"/>
    <w:rsid w:val="00246875"/>
    <w:rsid w:val="0024723D"/>
    <w:rsid w:val="00250090"/>
    <w:rsid w:val="00250438"/>
    <w:rsid w:val="002512E2"/>
    <w:rsid w:val="0025437B"/>
    <w:rsid w:val="00254AA0"/>
    <w:rsid w:val="00254EEB"/>
    <w:rsid w:val="002553DF"/>
    <w:rsid w:val="00257F49"/>
    <w:rsid w:val="00260CBA"/>
    <w:rsid w:val="00262053"/>
    <w:rsid w:val="00262440"/>
    <w:rsid w:val="00263F3D"/>
    <w:rsid w:val="00264CEE"/>
    <w:rsid w:val="00267FA2"/>
    <w:rsid w:val="00271C29"/>
    <w:rsid w:val="002769F0"/>
    <w:rsid w:val="002775E5"/>
    <w:rsid w:val="00277B7C"/>
    <w:rsid w:val="00277D59"/>
    <w:rsid w:val="002803CB"/>
    <w:rsid w:val="00280B1D"/>
    <w:rsid w:val="00280ECA"/>
    <w:rsid w:val="00282BDD"/>
    <w:rsid w:val="002834FD"/>
    <w:rsid w:val="002838C2"/>
    <w:rsid w:val="00284133"/>
    <w:rsid w:val="00285436"/>
    <w:rsid w:val="002864BC"/>
    <w:rsid w:val="00286BE0"/>
    <w:rsid w:val="00290F7D"/>
    <w:rsid w:val="00291F29"/>
    <w:rsid w:val="00292C95"/>
    <w:rsid w:val="00294804"/>
    <w:rsid w:val="00294CC1"/>
    <w:rsid w:val="002950A0"/>
    <w:rsid w:val="002956B9"/>
    <w:rsid w:val="0029612B"/>
    <w:rsid w:val="00296424"/>
    <w:rsid w:val="00297BF6"/>
    <w:rsid w:val="002A08E2"/>
    <w:rsid w:val="002A21B3"/>
    <w:rsid w:val="002A21DD"/>
    <w:rsid w:val="002A3F38"/>
    <w:rsid w:val="002A448F"/>
    <w:rsid w:val="002A4564"/>
    <w:rsid w:val="002A4FAB"/>
    <w:rsid w:val="002A597E"/>
    <w:rsid w:val="002A79C5"/>
    <w:rsid w:val="002B131F"/>
    <w:rsid w:val="002B1C8B"/>
    <w:rsid w:val="002B1D5A"/>
    <w:rsid w:val="002B3950"/>
    <w:rsid w:val="002B464E"/>
    <w:rsid w:val="002B694F"/>
    <w:rsid w:val="002C090E"/>
    <w:rsid w:val="002C22D7"/>
    <w:rsid w:val="002C2393"/>
    <w:rsid w:val="002C5799"/>
    <w:rsid w:val="002C6960"/>
    <w:rsid w:val="002C77C8"/>
    <w:rsid w:val="002D0204"/>
    <w:rsid w:val="002D0BD1"/>
    <w:rsid w:val="002D259F"/>
    <w:rsid w:val="002D29A6"/>
    <w:rsid w:val="002D3B4A"/>
    <w:rsid w:val="002D3E22"/>
    <w:rsid w:val="002D48FA"/>
    <w:rsid w:val="002D70CC"/>
    <w:rsid w:val="002E0BCD"/>
    <w:rsid w:val="002E119D"/>
    <w:rsid w:val="002E13BE"/>
    <w:rsid w:val="002E16FC"/>
    <w:rsid w:val="002E1726"/>
    <w:rsid w:val="002E2696"/>
    <w:rsid w:val="002E5F48"/>
    <w:rsid w:val="002E6016"/>
    <w:rsid w:val="002E7E01"/>
    <w:rsid w:val="002F03EE"/>
    <w:rsid w:val="002F1EF8"/>
    <w:rsid w:val="002F2AAF"/>
    <w:rsid w:val="002F32D8"/>
    <w:rsid w:val="002F423E"/>
    <w:rsid w:val="002F609F"/>
    <w:rsid w:val="002F6B79"/>
    <w:rsid w:val="002F7AFB"/>
    <w:rsid w:val="00300F84"/>
    <w:rsid w:val="0030381E"/>
    <w:rsid w:val="0030449A"/>
    <w:rsid w:val="0030641D"/>
    <w:rsid w:val="00307727"/>
    <w:rsid w:val="00312026"/>
    <w:rsid w:val="00312083"/>
    <w:rsid w:val="003132C7"/>
    <w:rsid w:val="00313379"/>
    <w:rsid w:val="0031424B"/>
    <w:rsid w:val="00315249"/>
    <w:rsid w:val="0031690F"/>
    <w:rsid w:val="00317577"/>
    <w:rsid w:val="00317595"/>
    <w:rsid w:val="003175C2"/>
    <w:rsid w:val="0031784D"/>
    <w:rsid w:val="003179D6"/>
    <w:rsid w:val="00317D11"/>
    <w:rsid w:val="00321725"/>
    <w:rsid w:val="00321E26"/>
    <w:rsid w:val="0032520B"/>
    <w:rsid w:val="00327DB1"/>
    <w:rsid w:val="003303E8"/>
    <w:rsid w:val="00330551"/>
    <w:rsid w:val="00330EE8"/>
    <w:rsid w:val="00331FF0"/>
    <w:rsid w:val="00332A24"/>
    <w:rsid w:val="00333B3A"/>
    <w:rsid w:val="0033401B"/>
    <w:rsid w:val="00335DE8"/>
    <w:rsid w:val="00340B77"/>
    <w:rsid w:val="00341382"/>
    <w:rsid w:val="003417F0"/>
    <w:rsid w:val="00342B59"/>
    <w:rsid w:val="00346836"/>
    <w:rsid w:val="003508A1"/>
    <w:rsid w:val="00352C4C"/>
    <w:rsid w:val="00353358"/>
    <w:rsid w:val="003615E7"/>
    <w:rsid w:val="00362048"/>
    <w:rsid w:val="00363DAA"/>
    <w:rsid w:val="00365EE4"/>
    <w:rsid w:val="0037169E"/>
    <w:rsid w:val="003716D6"/>
    <w:rsid w:val="00374067"/>
    <w:rsid w:val="00374171"/>
    <w:rsid w:val="003749C1"/>
    <w:rsid w:val="003755C1"/>
    <w:rsid w:val="00375C73"/>
    <w:rsid w:val="0038012E"/>
    <w:rsid w:val="00380DE7"/>
    <w:rsid w:val="0038281E"/>
    <w:rsid w:val="00382B2C"/>
    <w:rsid w:val="00383BD6"/>
    <w:rsid w:val="0038413F"/>
    <w:rsid w:val="0038427A"/>
    <w:rsid w:val="00385985"/>
    <w:rsid w:val="0039409E"/>
    <w:rsid w:val="00394CEF"/>
    <w:rsid w:val="003A28E3"/>
    <w:rsid w:val="003A3578"/>
    <w:rsid w:val="003A366B"/>
    <w:rsid w:val="003A566B"/>
    <w:rsid w:val="003A5AC5"/>
    <w:rsid w:val="003A67B5"/>
    <w:rsid w:val="003B25D9"/>
    <w:rsid w:val="003B45F7"/>
    <w:rsid w:val="003B586D"/>
    <w:rsid w:val="003C07A4"/>
    <w:rsid w:val="003C094B"/>
    <w:rsid w:val="003C3E05"/>
    <w:rsid w:val="003C4EB3"/>
    <w:rsid w:val="003C75CF"/>
    <w:rsid w:val="003C79D5"/>
    <w:rsid w:val="003D1AF5"/>
    <w:rsid w:val="003D1F5B"/>
    <w:rsid w:val="003D2098"/>
    <w:rsid w:val="003D337F"/>
    <w:rsid w:val="003D4B66"/>
    <w:rsid w:val="003D5174"/>
    <w:rsid w:val="003D57C7"/>
    <w:rsid w:val="003D704F"/>
    <w:rsid w:val="003E1406"/>
    <w:rsid w:val="003E152C"/>
    <w:rsid w:val="003E3458"/>
    <w:rsid w:val="003E5AD0"/>
    <w:rsid w:val="003E613B"/>
    <w:rsid w:val="003F0E42"/>
    <w:rsid w:val="003F1455"/>
    <w:rsid w:val="003F4133"/>
    <w:rsid w:val="003F4579"/>
    <w:rsid w:val="003F5C58"/>
    <w:rsid w:val="003F5C9A"/>
    <w:rsid w:val="003F7643"/>
    <w:rsid w:val="003F7ED2"/>
    <w:rsid w:val="004019D0"/>
    <w:rsid w:val="00401ECC"/>
    <w:rsid w:val="00402516"/>
    <w:rsid w:val="0040288C"/>
    <w:rsid w:val="004036A7"/>
    <w:rsid w:val="00407DB2"/>
    <w:rsid w:val="004112D9"/>
    <w:rsid w:val="0041240E"/>
    <w:rsid w:val="00414A43"/>
    <w:rsid w:val="004151EB"/>
    <w:rsid w:val="00415F60"/>
    <w:rsid w:val="00420970"/>
    <w:rsid w:val="00421EB5"/>
    <w:rsid w:val="00423193"/>
    <w:rsid w:val="00423658"/>
    <w:rsid w:val="00423CFB"/>
    <w:rsid w:val="00423D0D"/>
    <w:rsid w:val="004246AF"/>
    <w:rsid w:val="00425F42"/>
    <w:rsid w:val="00427B10"/>
    <w:rsid w:val="00432744"/>
    <w:rsid w:val="00432B8D"/>
    <w:rsid w:val="004331F0"/>
    <w:rsid w:val="0043466C"/>
    <w:rsid w:val="00437049"/>
    <w:rsid w:val="004370C9"/>
    <w:rsid w:val="00437274"/>
    <w:rsid w:val="004439F9"/>
    <w:rsid w:val="00444B6B"/>
    <w:rsid w:val="00445498"/>
    <w:rsid w:val="00445D2A"/>
    <w:rsid w:val="004468C5"/>
    <w:rsid w:val="00447A9B"/>
    <w:rsid w:val="00451837"/>
    <w:rsid w:val="004551C6"/>
    <w:rsid w:val="00455309"/>
    <w:rsid w:val="00455B39"/>
    <w:rsid w:val="00457AB4"/>
    <w:rsid w:val="0046031C"/>
    <w:rsid w:val="0046102D"/>
    <w:rsid w:val="00463081"/>
    <w:rsid w:val="00463E57"/>
    <w:rsid w:val="00465068"/>
    <w:rsid w:val="00465652"/>
    <w:rsid w:val="00466EC0"/>
    <w:rsid w:val="0047028D"/>
    <w:rsid w:val="004706E1"/>
    <w:rsid w:val="004716F9"/>
    <w:rsid w:val="00471A61"/>
    <w:rsid w:val="00477C3F"/>
    <w:rsid w:val="0048073A"/>
    <w:rsid w:val="00483969"/>
    <w:rsid w:val="00483F1F"/>
    <w:rsid w:val="00484011"/>
    <w:rsid w:val="0048406A"/>
    <w:rsid w:val="00485FED"/>
    <w:rsid w:val="004869B2"/>
    <w:rsid w:val="004874A4"/>
    <w:rsid w:val="00487731"/>
    <w:rsid w:val="004878FA"/>
    <w:rsid w:val="00491239"/>
    <w:rsid w:val="0049154E"/>
    <w:rsid w:val="00492687"/>
    <w:rsid w:val="00492E76"/>
    <w:rsid w:val="004938F7"/>
    <w:rsid w:val="004944BF"/>
    <w:rsid w:val="00495E30"/>
    <w:rsid w:val="00496BC4"/>
    <w:rsid w:val="004A15B0"/>
    <w:rsid w:val="004A19FF"/>
    <w:rsid w:val="004A1A86"/>
    <w:rsid w:val="004A1F14"/>
    <w:rsid w:val="004A57FC"/>
    <w:rsid w:val="004A63CE"/>
    <w:rsid w:val="004A6A5A"/>
    <w:rsid w:val="004A7902"/>
    <w:rsid w:val="004B0290"/>
    <w:rsid w:val="004B1207"/>
    <w:rsid w:val="004B1A60"/>
    <w:rsid w:val="004B2C83"/>
    <w:rsid w:val="004B419A"/>
    <w:rsid w:val="004B4F6C"/>
    <w:rsid w:val="004B78CD"/>
    <w:rsid w:val="004B7D64"/>
    <w:rsid w:val="004C1BD7"/>
    <w:rsid w:val="004C3D52"/>
    <w:rsid w:val="004C4286"/>
    <w:rsid w:val="004C44C1"/>
    <w:rsid w:val="004C67C3"/>
    <w:rsid w:val="004C723C"/>
    <w:rsid w:val="004C7B04"/>
    <w:rsid w:val="004D07DA"/>
    <w:rsid w:val="004D0A6A"/>
    <w:rsid w:val="004D20D6"/>
    <w:rsid w:val="004D2F84"/>
    <w:rsid w:val="004E18E8"/>
    <w:rsid w:val="004E3A35"/>
    <w:rsid w:val="004E52E4"/>
    <w:rsid w:val="004E55F0"/>
    <w:rsid w:val="004F0670"/>
    <w:rsid w:val="004F1402"/>
    <w:rsid w:val="004F32F4"/>
    <w:rsid w:val="005005CE"/>
    <w:rsid w:val="00500A53"/>
    <w:rsid w:val="00500E67"/>
    <w:rsid w:val="00501DF9"/>
    <w:rsid w:val="00501F46"/>
    <w:rsid w:val="0050255C"/>
    <w:rsid w:val="0050400B"/>
    <w:rsid w:val="00504046"/>
    <w:rsid w:val="00505D2C"/>
    <w:rsid w:val="00505D90"/>
    <w:rsid w:val="00506632"/>
    <w:rsid w:val="00507697"/>
    <w:rsid w:val="00507B16"/>
    <w:rsid w:val="00507CDF"/>
    <w:rsid w:val="00511552"/>
    <w:rsid w:val="005128B2"/>
    <w:rsid w:val="0051398E"/>
    <w:rsid w:val="00514FC2"/>
    <w:rsid w:val="005150FB"/>
    <w:rsid w:val="005153C1"/>
    <w:rsid w:val="005154C4"/>
    <w:rsid w:val="0051553E"/>
    <w:rsid w:val="00520751"/>
    <w:rsid w:val="00520DDB"/>
    <w:rsid w:val="00523313"/>
    <w:rsid w:val="005254B6"/>
    <w:rsid w:val="00526576"/>
    <w:rsid w:val="00526710"/>
    <w:rsid w:val="005305EB"/>
    <w:rsid w:val="0053167D"/>
    <w:rsid w:val="005321F2"/>
    <w:rsid w:val="00533699"/>
    <w:rsid w:val="00533B69"/>
    <w:rsid w:val="00533D54"/>
    <w:rsid w:val="005345D2"/>
    <w:rsid w:val="00534600"/>
    <w:rsid w:val="00535454"/>
    <w:rsid w:val="00535B95"/>
    <w:rsid w:val="00535F6E"/>
    <w:rsid w:val="0053777B"/>
    <w:rsid w:val="00541BED"/>
    <w:rsid w:val="00541EEC"/>
    <w:rsid w:val="00543882"/>
    <w:rsid w:val="00544787"/>
    <w:rsid w:val="00546AF2"/>
    <w:rsid w:val="00547F1A"/>
    <w:rsid w:val="00551211"/>
    <w:rsid w:val="0055277A"/>
    <w:rsid w:val="00552CBE"/>
    <w:rsid w:val="00552F9A"/>
    <w:rsid w:val="00554F75"/>
    <w:rsid w:val="0055675A"/>
    <w:rsid w:val="005577DA"/>
    <w:rsid w:val="00562296"/>
    <w:rsid w:val="005647A6"/>
    <w:rsid w:val="005648DB"/>
    <w:rsid w:val="005649FA"/>
    <w:rsid w:val="00567554"/>
    <w:rsid w:val="005726DB"/>
    <w:rsid w:val="00583508"/>
    <w:rsid w:val="0058660E"/>
    <w:rsid w:val="00586E6B"/>
    <w:rsid w:val="0059205B"/>
    <w:rsid w:val="00592F88"/>
    <w:rsid w:val="00593BBA"/>
    <w:rsid w:val="00594F26"/>
    <w:rsid w:val="00595E01"/>
    <w:rsid w:val="00597608"/>
    <w:rsid w:val="00597DEE"/>
    <w:rsid w:val="005A2D72"/>
    <w:rsid w:val="005A4988"/>
    <w:rsid w:val="005A4E0D"/>
    <w:rsid w:val="005A4F41"/>
    <w:rsid w:val="005A609E"/>
    <w:rsid w:val="005A659E"/>
    <w:rsid w:val="005B1150"/>
    <w:rsid w:val="005B1F0A"/>
    <w:rsid w:val="005B337E"/>
    <w:rsid w:val="005B43A3"/>
    <w:rsid w:val="005B58D4"/>
    <w:rsid w:val="005B5E88"/>
    <w:rsid w:val="005B6949"/>
    <w:rsid w:val="005C1339"/>
    <w:rsid w:val="005C1AC1"/>
    <w:rsid w:val="005C2171"/>
    <w:rsid w:val="005C218C"/>
    <w:rsid w:val="005C24C9"/>
    <w:rsid w:val="005C435E"/>
    <w:rsid w:val="005C664B"/>
    <w:rsid w:val="005C7338"/>
    <w:rsid w:val="005D195F"/>
    <w:rsid w:val="005D22B1"/>
    <w:rsid w:val="005D2669"/>
    <w:rsid w:val="005D352A"/>
    <w:rsid w:val="005D691B"/>
    <w:rsid w:val="005D6FF8"/>
    <w:rsid w:val="005D79E9"/>
    <w:rsid w:val="005E3026"/>
    <w:rsid w:val="005E5F4D"/>
    <w:rsid w:val="005F0531"/>
    <w:rsid w:val="005F084C"/>
    <w:rsid w:val="005F2212"/>
    <w:rsid w:val="005F3431"/>
    <w:rsid w:val="005F3E35"/>
    <w:rsid w:val="005F423E"/>
    <w:rsid w:val="005F4465"/>
    <w:rsid w:val="005F5BF5"/>
    <w:rsid w:val="005F5E78"/>
    <w:rsid w:val="005F68B5"/>
    <w:rsid w:val="005F73A6"/>
    <w:rsid w:val="00602CBF"/>
    <w:rsid w:val="0060585F"/>
    <w:rsid w:val="006065D1"/>
    <w:rsid w:val="00607227"/>
    <w:rsid w:val="00607BE0"/>
    <w:rsid w:val="00607CC8"/>
    <w:rsid w:val="00612B6E"/>
    <w:rsid w:val="00612D16"/>
    <w:rsid w:val="00614CE3"/>
    <w:rsid w:val="00617E74"/>
    <w:rsid w:val="00623062"/>
    <w:rsid w:val="00623A2F"/>
    <w:rsid w:val="00626AE5"/>
    <w:rsid w:val="00633A25"/>
    <w:rsid w:val="00633F18"/>
    <w:rsid w:val="00634C85"/>
    <w:rsid w:val="00634FD6"/>
    <w:rsid w:val="0063507F"/>
    <w:rsid w:val="00637632"/>
    <w:rsid w:val="006403D4"/>
    <w:rsid w:val="0064063C"/>
    <w:rsid w:val="00641458"/>
    <w:rsid w:val="0064192B"/>
    <w:rsid w:val="00643FF7"/>
    <w:rsid w:val="00644656"/>
    <w:rsid w:val="00644A4C"/>
    <w:rsid w:val="006462CA"/>
    <w:rsid w:val="00647DE0"/>
    <w:rsid w:val="006506D8"/>
    <w:rsid w:val="00651038"/>
    <w:rsid w:val="00652953"/>
    <w:rsid w:val="0065380F"/>
    <w:rsid w:val="006542A2"/>
    <w:rsid w:val="00654432"/>
    <w:rsid w:val="0065527B"/>
    <w:rsid w:val="00656EEC"/>
    <w:rsid w:val="00657FED"/>
    <w:rsid w:val="00660AC3"/>
    <w:rsid w:val="00664F43"/>
    <w:rsid w:val="00666904"/>
    <w:rsid w:val="00666B75"/>
    <w:rsid w:val="0067032F"/>
    <w:rsid w:val="006705B2"/>
    <w:rsid w:val="00673BC3"/>
    <w:rsid w:val="006746E3"/>
    <w:rsid w:val="00674788"/>
    <w:rsid w:val="00675AF3"/>
    <w:rsid w:val="00676875"/>
    <w:rsid w:val="006774C2"/>
    <w:rsid w:val="006775D3"/>
    <w:rsid w:val="00680C30"/>
    <w:rsid w:val="0068195E"/>
    <w:rsid w:val="00681E4E"/>
    <w:rsid w:val="00682562"/>
    <w:rsid w:val="00684FA3"/>
    <w:rsid w:val="006866F3"/>
    <w:rsid w:val="00687C92"/>
    <w:rsid w:val="00687F06"/>
    <w:rsid w:val="00690045"/>
    <w:rsid w:val="0069011F"/>
    <w:rsid w:val="00690788"/>
    <w:rsid w:val="006926DE"/>
    <w:rsid w:val="00693823"/>
    <w:rsid w:val="00693AC3"/>
    <w:rsid w:val="00696329"/>
    <w:rsid w:val="00696DDA"/>
    <w:rsid w:val="006A00CE"/>
    <w:rsid w:val="006A097D"/>
    <w:rsid w:val="006A0F07"/>
    <w:rsid w:val="006A2C3A"/>
    <w:rsid w:val="006A3B82"/>
    <w:rsid w:val="006A44EB"/>
    <w:rsid w:val="006A4AC2"/>
    <w:rsid w:val="006A7972"/>
    <w:rsid w:val="006A7DB2"/>
    <w:rsid w:val="006B0E09"/>
    <w:rsid w:val="006B30A7"/>
    <w:rsid w:val="006B3962"/>
    <w:rsid w:val="006B5E99"/>
    <w:rsid w:val="006B6F96"/>
    <w:rsid w:val="006B75AB"/>
    <w:rsid w:val="006C0617"/>
    <w:rsid w:val="006C4749"/>
    <w:rsid w:val="006C494E"/>
    <w:rsid w:val="006C552B"/>
    <w:rsid w:val="006C56A7"/>
    <w:rsid w:val="006C5D59"/>
    <w:rsid w:val="006D0754"/>
    <w:rsid w:val="006D0AA5"/>
    <w:rsid w:val="006D1716"/>
    <w:rsid w:val="006D30B7"/>
    <w:rsid w:val="006D3188"/>
    <w:rsid w:val="006D6659"/>
    <w:rsid w:val="006E1AAE"/>
    <w:rsid w:val="006E3379"/>
    <w:rsid w:val="006E722F"/>
    <w:rsid w:val="006F23C4"/>
    <w:rsid w:val="006F49DF"/>
    <w:rsid w:val="006F5591"/>
    <w:rsid w:val="006F5756"/>
    <w:rsid w:val="006F67FF"/>
    <w:rsid w:val="00702594"/>
    <w:rsid w:val="007074AF"/>
    <w:rsid w:val="00707F46"/>
    <w:rsid w:val="007104A3"/>
    <w:rsid w:val="007107A4"/>
    <w:rsid w:val="0071137E"/>
    <w:rsid w:val="007128C5"/>
    <w:rsid w:val="007144AB"/>
    <w:rsid w:val="00714A68"/>
    <w:rsid w:val="00716B5A"/>
    <w:rsid w:val="00716EA5"/>
    <w:rsid w:val="0072026C"/>
    <w:rsid w:val="00720B57"/>
    <w:rsid w:val="00721800"/>
    <w:rsid w:val="00722026"/>
    <w:rsid w:val="0072537B"/>
    <w:rsid w:val="00726C1B"/>
    <w:rsid w:val="00727564"/>
    <w:rsid w:val="0072767A"/>
    <w:rsid w:val="007279D3"/>
    <w:rsid w:val="007303CB"/>
    <w:rsid w:val="00730943"/>
    <w:rsid w:val="00730E5E"/>
    <w:rsid w:val="00730F03"/>
    <w:rsid w:val="007344DA"/>
    <w:rsid w:val="007345F6"/>
    <w:rsid w:val="00734B4E"/>
    <w:rsid w:val="00736A41"/>
    <w:rsid w:val="00743972"/>
    <w:rsid w:val="0074418B"/>
    <w:rsid w:val="007474A2"/>
    <w:rsid w:val="00747AA9"/>
    <w:rsid w:val="0075003B"/>
    <w:rsid w:val="0075134E"/>
    <w:rsid w:val="00751419"/>
    <w:rsid w:val="007514DB"/>
    <w:rsid w:val="0075182E"/>
    <w:rsid w:val="007520AC"/>
    <w:rsid w:val="00752C8B"/>
    <w:rsid w:val="0075410E"/>
    <w:rsid w:val="007546CB"/>
    <w:rsid w:val="00757786"/>
    <w:rsid w:val="00757A24"/>
    <w:rsid w:val="0076021B"/>
    <w:rsid w:val="0076066B"/>
    <w:rsid w:val="00760684"/>
    <w:rsid w:val="0076691D"/>
    <w:rsid w:val="00766E85"/>
    <w:rsid w:val="007700B2"/>
    <w:rsid w:val="00773AAA"/>
    <w:rsid w:val="00774FA5"/>
    <w:rsid w:val="0077537C"/>
    <w:rsid w:val="00775C1F"/>
    <w:rsid w:val="007761B7"/>
    <w:rsid w:val="00776BE7"/>
    <w:rsid w:val="00776D71"/>
    <w:rsid w:val="007771E8"/>
    <w:rsid w:val="00777547"/>
    <w:rsid w:val="00777AB8"/>
    <w:rsid w:val="00777C72"/>
    <w:rsid w:val="00784BA5"/>
    <w:rsid w:val="0078522F"/>
    <w:rsid w:val="007872FB"/>
    <w:rsid w:val="0079075B"/>
    <w:rsid w:val="0079313F"/>
    <w:rsid w:val="00793207"/>
    <w:rsid w:val="00793555"/>
    <w:rsid w:val="00793F1F"/>
    <w:rsid w:val="00794F2C"/>
    <w:rsid w:val="007A0A81"/>
    <w:rsid w:val="007A24D2"/>
    <w:rsid w:val="007A2ABA"/>
    <w:rsid w:val="007A3492"/>
    <w:rsid w:val="007A3F96"/>
    <w:rsid w:val="007B180A"/>
    <w:rsid w:val="007B3F93"/>
    <w:rsid w:val="007B4553"/>
    <w:rsid w:val="007B4ABF"/>
    <w:rsid w:val="007B634A"/>
    <w:rsid w:val="007B689D"/>
    <w:rsid w:val="007B6AF7"/>
    <w:rsid w:val="007B7698"/>
    <w:rsid w:val="007C0C75"/>
    <w:rsid w:val="007C11D8"/>
    <w:rsid w:val="007C2DED"/>
    <w:rsid w:val="007C3129"/>
    <w:rsid w:val="007C3F4C"/>
    <w:rsid w:val="007C6823"/>
    <w:rsid w:val="007C7AEC"/>
    <w:rsid w:val="007D2A26"/>
    <w:rsid w:val="007D2B95"/>
    <w:rsid w:val="007D3CEC"/>
    <w:rsid w:val="007D6F89"/>
    <w:rsid w:val="007D7A27"/>
    <w:rsid w:val="007E09E0"/>
    <w:rsid w:val="007E185F"/>
    <w:rsid w:val="007E2777"/>
    <w:rsid w:val="007E3922"/>
    <w:rsid w:val="007E5B60"/>
    <w:rsid w:val="007E5B75"/>
    <w:rsid w:val="007E5BC1"/>
    <w:rsid w:val="007E6EC0"/>
    <w:rsid w:val="007F1293"/>
    <w:rsid w:val="007F260A"/>
    <w:rsid w:val="007F6977"/>
    <w:rsid w:val="007F7F94"/>
    <w:rsid w:val="008006DE"/>
    <w:rsid w:val="0080153B"/>
    <w:rsid w:val="00801842"/>
    <w:rsid w:val="00801C4E"/>
    <w:rsid w:val="00802334"/>
    <w:rsid w:val="00803A66"/>
    <w:rsid w:val="00803ABC"/>
    <w:rsid w:val="00803BDC"/>
    <w:rsid w:val="00804521"/>
    <w:rsid w:val="00805A98"/>
    <w:rsid w:val="00806EE1"/>
    <w:rsid w:val="00807185"/>
    <w:rsid w:val="0080776D"/>
    <w:rsid w:val="008129BA"/>
    <w:rsid w:val="00813AD9"/>
    <w:rsid w:val="00813B40"/>
    <w:rsid w:val="00813C23"/>
    <w:rsid w:val="00815310"/>
    <w:rsid w:val="00816249"/>
    <w:rsid w:val="008167B3"/>
    <w:rsid w:val="0081752E"/>
    <w:rsid w:val="0082051F"/>
    <w:rsid w:val="0082208B"/>
    <w:rsid w:val="00822550"/>
    <w:rsid w:val="00822D4A"/>
    <w:rsid w:val="0082390B"/>
    <w:rsid w:val="008239DF"/>
    <w:rsid w:val="008249ED"/>
    <w:rsid w:val="00830791"/>
    <w:rsid w:val="00830928"/>
    <w:rsid w:val="0083169A"/>
    <w:rsid w:val="008325BE"/>
    <w:rsid w:val="008373C1"/>
    <w:rsid w:val="008379DA"/>
    <w:rsid w:val="0084476E"/>
    <w:rsid w:val="00844792"/>
    <w:rsid w:val="00846634"/>
    <w:rsid w:val="00851154"/>
    <w:rsid w:val="00852115"/>
    <w:rsid w:val="00853662"/>
    <w:rsid w:val="00853CDE"/>
    <w:rsid w:val="0085748E"/>
    <w:rsid w:val="008577E0"/>
    <w:rsid w:val="00860AD1"/>
    <w:rsid w:val="00862382"/>
    <w:rsid w:val="0086306D"/>
    <w:rsid w:val="008638F5"/>
    <w:rsid w:val="008705D2"/>
    <w:rsid w:val="008724C9"/>
    <w:rsid w:val="0087251A"/>
    <w:rsid w:val="00874D24"/>
    <w:rsid w:val="008774A9"/>
    <w:rsid w:val="00877A35"/>
    <w:rsid w:val="00881B06"/>
    <w:rsid w:val="008825CF"/>
    <w:rsid w:val="00895FBB"/>
    <w:rsid w:val="008970B6"/>
    <w:rsid w:val="00897A3F"/>
    <w:rsid w:val="008A1C85"/>
    <w:rsid w:val="008A280B"/>
    <w:rsid w:val="008A44E7"/>
    <w:rsid w:val="008A5852"/>
    <w:rsid w:val="008B2736"/>
    <w:rsid w:val="008B3AB8"/>
    <w:rsid w:val="008B41EF"/>
    <w:rsid w:val="008B6909"/>
    <w:rsid w:val="008B7155"/>
    <w:rsid w:val="008B7210"/>
    <w:rsid w:val="008C0155"/>
    <w:rsid w:val="008C1340"/>
    <w:rsid w:val="008C34E8"/>
    <w:rsid w:val="008C4258"/>
    <w:rsid w:val="008C4CC2"/>
    <w:rsid w:val="008C4D7A"/>
    <w:rsid w:val="008C5384"/>
    <w:rsid w:val="008C5EF6"/>
    <w:rsid w:val="008C67DE"/>
    <w:rsid w:val="008D011A"/>
    <w:rsid w:val="008D04B1"/>
    <w:rsid w:val="008D069E"/>
    <w:rsid w:val="008D1440"/>
    <w:rsid w:val="008D15C4"/>
    <w:rsid w:val="008D3186"/>
    <w:rsid w:val="008D4DB1"/>
    <w:rsid w:val="008D6E9A"/>
    <w:rsid w:val="008D7DEC"/>
    <w:rsid w:val="008E1CC4"/>
    <w:rsid w:val="008E22CE"/>
    <w:rsid w:val="008E2B5B"/>
    <w:rsid w:val="008E3B54"/>
    <w:rsid w:val="008E4277"/>
    <w:rsid w:val="008E61FD"/>
    <w:rsid w:val="008E64CC"/>
    <w:rsid w:val="008E74B9"/>
    <w:rsid w:val="008E7E35"/>
    <w:rsid w:val="008F26CF"/>
    <w:rsid w:val="008F520B"/>
    <w:rsid w:val="008F5217"/>
    <w:rsid w:val="008F5481"/>
    <w:rsid w:val="008F5998"/>
    <w:rsid w:val="008F64D1"/>
    <w:rsid w:val="008F6A94"/>
    <w:rsid w:val="008F702F"/>
    <w:rsid w:val="00901044"/>
    <w:rsid w:val="0090285A"/>
    <w:rsid w:val="00904020"/>
    <w:rsid w:val="00906382"/>
    <w:rsid w:val="00907A1E"/>
    <w:rsid w:val="009107F3"/>
    <w:rsid w:val="0091162A"/>
    <w:rsid w:val="0091227B"/>
    <w:rsid w:val="009132CD"/>
    <w:rsid w:val="009159E5"/>
    <w:rsid w:val="00916207"/>
    <w:rsid w:val="0091660A"/>
    <w:rsid w:val="00916647"/>
    <w:rsid w:val="009174C1"/>
    <w:rsid w:val="009218FF"/>
    <w:rsid w:val="00922348"/>
    <w:rsid w:val="0092257D"/>
    <w:rsid w:val="0092284C"/>
    <w:rsid w:val="00923AB0"/>
    <w:rsid w:val="00923CD1"/>
    <w:rsid w:val="00924EB1"/>
    <w:rsid w:val="00926C9C"/>
    <w:rsid w:val="009277D7"/>
    <w:rsid w:val="00927A75"/>
    <w:rsid w:val="00927AB2"/>
    <w:rsid w:val="00930019"/>
    <w:rsid w:val="00931B79"/>
    <w:rsid w:val="00933AED"/>
    <w:rsid w:val="00933C9B"/>
    <w:rsid w:val="009341CA"/>
    <w:rsid w:val="009342C4"/>
    <w:rsid w:val="00935590"/>
    <w:rsid w:val="009369A1"/>
    <w:rsid w:val="00936C76"/>
    <w:rsid w:val="00936D83"/>
    <w:rsid w:val="00936E9E"/>
    <w:rsid w:val="00940CE2"/>
    <w:rsid w:val="00941207"/>
    <w:rsid w:val="009414D2"/>
    <w:rsid w:val="00942B8D"/>
    <w:rsid w:val="009439F0"/>
    <w:rsid w:val="00943E59"/>
    <w:rsid w:val="00944E23"/>
    <w:rsid w:val="00945BE8"/>
    <w:rsid w:val="0094640F"/>
    <w:rsid w:val="0095041C"/>
    <w:rsid w:val="009511D9"/>
    <w:rsid w:val="00951E42"/>
    <w:rsid w:val="0095267D"/>
    <w:rsid w:val="009541A3"/>
    <w:rsid w:val="00956BFB"/>
    <w:rsid w:val="00957C1E"/>
    <w:rsid w:val="00957C82"/>
    <w:rsid w:val="00960896"/>
    <w:rsid w:val="00961D4C"/>
    <w:rsid w:val="0096220D"/>
    <w:rsid w:val="009624AE"/>
    <w:rsid w:val="009625DB"/>
    <w:rsid w:val="009626E9"/>
    <w:rsid w:val="00963A7C"/>
    <w:rsid w:val="00964977"/>
    <w:rsid w:val="00964F65"/>
    <w:rsid w:val="00966B1C"/>
    <w:rsid w:val="00966CBE"/>
    <w:rsid w:val="00967446"/>
    <w:rsid w:val="00970D74"/>
    <w:rsid w:val="00973313"/>
    <w:rsid w:val="00977689"/>
    <w:rsid w:val="00984E3B"/>
    <w:rsid w:val="00987766"/>
    <w:rsid w:val="009913EA"/>
    <w:rsid w:val="00991836"/>
    <w:rsid w:val="00992AC2"/>
    <w:rsid w:val="009955DD"/>
    <w:rsid w:val="00996FF6"/>
    <w:rsid w:val="00997859"/>
    <w:rsid w:val="00997C05"/>
    <w:rsid w:val="009A05B0"/>
    <w:rsid w:val="009A219A"/>
    <w:rsid w:val="009A4C51"/>
    <w:rsid w:val="009A621A"/>
    <w:rsid w:val="009A68FC"/>
    <w:rsid w:val="009A6DF6"/>
    <w:rsid w:val="009B076A"/>
    <w:rsid w:val="009B18F8"/>
    <w:rsid w:val="009B60B3"/>
    <w:rsid w:val="009B6437"/>
    <w:rsid w:val="009B70C8"/>
    <w:rsid w:val="009C07E2"/>
    <w:rsid w:val="009C1535"/>
    <w:rsid w:val="009C1675"/>
    <w:rsid w:val="009C2D66"/>
    <w:rsid w:val="009C2D71"/>
    <w:rsid w:val="009C35AB"/>
    <w:rsid w:val="009C49C1"/>
    <w:rsid w:val="009C563A"/>
    <w:rsid w:val="009D137C"/>
    <w:rsid w:val="009D1883"/>
    <w:rsid w:val="009D2E15"/>
    <w:rsid w:val="009D3289"/>
    <w:rsid w:val="009D3791"/>
    <w:rsid w:val="009D797A"/>
    <w:rsid w:val="009E0AE2"/>
    <w:rsid w:val="009E1E8E"/>
    <w:rsid w:val="009E3999"/>
    <w:rsid w:val="009E473F"/>
    <w:rsid w:val="009E497D"/>
    <w:rsid w:val="009E4B58"/>
    <w:rsid w:val="009E5439"/>
    <w:rsid w:val="009E5F12"/>
    <w:rsid w:val="009E61DE"/>
    <w:rsid w:val="009E6B8A"/>
    <w:rsid w:val="009E723E"/>
    <w:rsid w:val="009E7FDB"/>
    <w:rsid w:val="009F3AED"/>
    <w:rsid w:val="009F5E75"/>
    <w:rsid w:val="009F73B2"/>
    <w:rsid w:val="009F7665"/>
    <w:rsid w:val="00A023C6"/>
    <w:rsid w:val="00A02FD5"/>
    <w:rsid w:val="00A058CA"/>
    <w:rsid w:val="00A10D05"/>
    <w:rsid w:val="00A11A75"/>
    <w:rsid w:val="00A11F08"/>
    <w:rsid w:val="00A162C8"/>
    <w:rsid w:val="00A17EAC"/>
    <w:rsid w:val="00A20958"/>
    <w:rsid w:val="00A227A6"/>
    <w:rsid w:val="00A24276"/>
    <w:rsid w:val="00A24BB4"/>
    <w:rsid w:val="00A317B1"/>
    <w:rsid w:val="00A318ED"/>
    <w:rsid w:val="00A32FB3"/>
    <w:rsid w:val="00A33B36"/>
    <w:rsid w:val="00A35C3D"/>
    <w:rsid w:val="00A36E70"/>
    <w:rsid w:val="00A37DBC"/>
    <w:rsid w:val="00A37F3A"/>
    <w:rsid w:val="00A408EE"/>
    <w:rsid w:val="00A40C6F"/>
    <w:rsid w:val="00A41109"/>
    <w:rsid w:val="00A45D14"/>
    <w:rsid w:val="00A47668"/>
    <w:rsid w:val="00A477B4"/>
    <w:rsid w:val="00A50904"/>
    <w:rsid w:val="00A50D2D"/>
    <w:rsid w:val="00A525E2"/>
    <w:rsid w:val="00A5466E"/>
    <w:rsid w:val="00A548EA"/>
    <w:rsid w:val="00A552CA"/>
    <w:rsid w:val="00A55B23"/>
    <w:rsid w:val="00A55F2F"/>
    <w:rsid w:val="00A56C43"/>
    <w:rsid w:val="00A57692"/>
    <w:rsid w:val="00A612B7"/>
    <w:rsid w:val="00A62714"/>
    <w:rsid w:val="00A65A3D"/>
    <w:rsid w:val="00A66202"/>
    <w:rsid w:val="00A67F18"/>
    <w:rsid w:val="00A67FFB"/>
    <w:rsid w:val="00A70F98"/>
    <w:rsid w:val="00A71622"/>
    <w:rsid w:val="00A72A0C"/>
    <w:rsid w:val="00A72A13"/>
    <w:rsid w:val="00A72D57"/>
    <w:rsid w:val="00A72FAA"/>
    <w:rsid w:val="00A73C27"/>
    <w:rsid w:val="00A74DE9"/>
    <w:rsid w:val="00A75F66"/>
    <w:rsid w:val="00A767B0"/>
    <w:rsid w:val="00A76C5B"/>
    <w:rsid w:val="00A77590"/>
    <w:rsid w:val="00A77C76"/>
    <w:rsid w:val="00A77FBF"/>
    <w:rsid w:val="00A80435"/>
    <w:rsid w:val="00A8165B"/>
    <w:rsid w:val="00A819A9"/>
    <w:rsid w:val="00A81C74"/>
    <w:rsid w:val="00A85351"/>
    <w:rsid w:val="00A855C6"/>
    <w:rsid w:val="00A85871"/>
    <w:rsid w:val="00A91DAA"/>
    <w:rsid w:val="00A931AB"/>
    <w:rsid w:val="00A97F35"/>
    <w:rsid w:val="00AA09F5"/>
    <w:rsid w:val="00AA2F87"/>
    <w:rsid w:val="00AA36D3"/>
    <w:rsid w:val="00AA3749"/>
    <w:rsid w:val="00AA4268"/>
    <w:rsid w:val="00AA5D54"/>
    <w:rsid w:val="00AA65AF"/>
    <w:rsid w:val="00AA739D"/>
    <w:rsid w:val="00AB01B3"/>
    <w:rsid w:val="00AB0DDE"/>
    <w:rsid w:val="00AB4B63"/>
    <w:rsid w:val="00AC041E"/>
    <w:rsid w:val="00AC1479"/>
    <w:rsid w:val="00AC330D"/>
    <w:rsid w:val="00AC678F"/>
    <w:rsid w:val="00AC7998"/>
    <w:rsid w:val="00AD0670"/>
    <w:rsid w:val="00AD2E3C"/>
    <w:rsid w:val="00AD346D"/>
    <w:rsid w:val="00AD5B58"/>
    <w:rsid w:val="00AD6439"/>
    <w:rsid w:val="00AD7DB5"/>
    <w:rsid w:val="00AE0211"/>
    <w:rsid w:val="00AE0A50"/>
    <w:rsid w:val="00AE32F0"/>
    <w:rsid w:val="00AE3A85"/>
    <w:rsid w:val="00AE5090"/>
    <w:rsid w:val="00AE6E27"/>
    <w:rsid w:val="00AF17D9"/>
    <w:rsid w:val="00AF1C7D"/>
    <w:rsid w:val="00AF1DFA"/>
    <w:rsid w:val="00AF2EC6"/>
    <w:rsid w:val="00AF310D"/>
    <w:rsid w:val="00AF31BA"/>
    <w:rsid w:val="00AF3B6B"/>
    <w:rsid w:val="00AF44B8"/>
    <w:rsid w:val="00AF6247"/>
    <w:rsid w:val="00B000C6"/>
    <w:rsid w:val="00B007C1"/>
    <w:rsid w:val="00B02228"/>
    <w:rsid w:val="00B04638"/>
    <w:rsid w:val="00B070CF"/>
    <w:rsid w:val="00B07A97"/>
    <w:rsid w:val="00B11832"/>
    <w:rsid w:val="00B14280"/>
    <w:rsid w:val="00B14331"/>
    <w:rsid w:val="00B14AAC"/>
    <w:rsid w:val="00B15438"/>
    <w:rsid w:val="00B154C3"/>
    <w:rsid w:val="00B15868"/>
    <w:rsid w:val="00B203E5"/>
    <w:rsid w:val="00B20F63"/>
    <w:rsid w:val="00B220F4"/>
    <w:rsid w:val="00B23B40"/>
    <w:rsid w:val="00B25310"/>
    <w:rsid w:val="00B268F8"/>
    <w:rsid w:val="00B27D65"/>
    <w:rsid w:val="00B32344"/>
    <w:rsid w:val="00B3240E"/>
    <w:rsid w:val="00B3289A"/>
    <w:rsid w:val="00B3557C"/>
    <w:rsid w:val="00B35B3C"/>
    <w:rsid w:val="00B372C0"/>
    <w:rsid w:val="00B42ADB"/>
    <w:rsid w:val="00B42E21"/>
    <w:rsid w:val="00B42FC8"/>
    <w:rsid w:val="00B4411F"/>
    <w:rsid w:val="00B44EB0"/>
    <w:rsid w:val="00B4732E"/>
    <w:rsid w:val="00B5055D"/>
    <w:rsid w:val="00B50AD0"/>
    <w:rsid w:val="00B54940"/>
    <w:rsid w:val="00B54D71"/>
    <w:rsid w:val="00B56D8B"/>
    <w:rsid w:val="00B601D3"/>
    <w:rsid w:val="00B62AF7"/>
    <w:rsid w:val="00B64CA3"/>
    <w:rsid w:val="00B66DC6"/>
    <w:rsid w:val="00B6726C"/>
    <w:rsid w:val="00B6752F"/>
    <w:rsid w:val="00B67FF4"/>
    <w:rsid w:val="00B70DDC"/>
    <w:rsid w:val="00B71114"/>
    <w:rsid w:val="00B71A09"/>
    <w:rsid w:val="00B72C52"/>
    <w:rsid w:val="00B740A2"/>
    <w:rsid w:val="00B74290"/>
    <w:rsid w:val="00B757E6"/>
    <w:rsid w:val="00B75EC2"/>
    <w:rsid w:val="00B761B8"/>
    <w:rsid w:val="00B777A3"/>
    <w:rsid w:val="00B779D2"/>
    <w:rsid w:val="00B8144E"/>
    <w:rsid w:val="00B81658"/>
    <w:rsid w:val="00B82265"/>
    <w:rsid w:val="00B84DD7"/>
    <w:rsid w:val="00B856C7"/>
    <w:rsid w:val="00B8647A"/>
    <w:rsid w:val="00B866E1"/>
    <w:rsid w:val="00B903EB"/>
    <w:rsid w:val="00B90FC4"/>
    <w:rsid w:val="00B9280A"/>
    <w:rsid w:val="00B93154"/>
    <w:rsid w:val="00B93217"/>
    <w:rsid w:val="00B948AF"/>
    <w:rsid w:val="00BA25D6"/>
    <w:rsid w:val="00BA3D0A"/>
    <w:rsid w:val="00BA4A63"/>
    <w:rsid w:val="00BA4D2F"/>
    <w:rsid w:val="00BA5A92"/>
    <w:rsid w:val="00BA6F6B"/>
    <w:rsid w:val="00BA7B3C"/>
    <w:rsid w:val="00BB0D78"/>
    <w:rsid w:val="00BB0E9B"/>
    <w:rsid w:val="00BB1330"/>
    <w:rsid w:val="00BB2445"/>
    <w:rsid w:val="00BB2478"/>
    <w:rsid w:val="00BB343B"/>
    <w:rsid w:val="00BB396D"/>
    <w:rsid w:val="00BB5A9C"/>
    <w:rsid w:val="00BB5C01"/>
    <w:rsid w:val="00BB614D"/>
    <w:rsid w:val="00BB6A94"/>
    <w:rsid w:val="00BB7EDF"/>
    <w:rsid w:val="00BC01B3"/>
    <w:rsid w:val="00BC0319"/>
    <w:rsid w:val="00BC0D92"/>
    <w:rsid w:val="00BC357A"/>
    <w:rsid w:val="00BC39DF"/>
    <w:rsid w:val="00BC3A8C"/>
    <w:rsid w:val="00BC5787"/>
    <w:rsid w:val="00BC58D1"/>
    <w:rsid w:val="00BC63FD"/>
    <w:rsid w:val="00BC76C1"/>
    <w:rsid w:val="00BD051B"/>
    <w:rsid w:val="00BD4202"/>
    <w:rsid w:val="00BD447C"/>
    <w:rsid w:val="00BD4C11"/>
    <w:rsid w:val="00BD68EE"/>
    <w:rsid w:val="00BD79A4"/>
    <w:rsid w:val="00BD7CF1"/>
    <w:rsid w:val="00BE00AD"/>
    <w:rsid w:val="00BE26EA"/>
    <w:rsid w:val="00BE2761"/>
    <w:rsid w:val="00BE2FD7"/>
    <w:rsid w:val="00BE3F16"/>
    <w:rsid w:val="00BE4FF0"/>
    <w:rsid w:val="00BE7E25"/>
    <w:rsid w:val="00BF29F5"/>
    <w:rsid w:val="00BF2F71"/>
    <w:rsid w:val="00BF44D3"/>
    <w:rsid w:val="00BF4948"/>
    <w:rsid w:val="00BF52C3"/>
    <w:rsid w:val="00BF5624"/>
    <w:rsid w:val="00BF6AFF"/>
    <w:rsid w:val="00BF7B1F"/>
    <w:rsid w:val="00C000B4"/>
    <w:rsid w:val="00C00E8A"/>
    <w:rsid w:val="00C00E91"/>
    <w:rsid w:val="00C02377"/>
    <w:rsid w:val="00C02CCC"/>
    <w:rsid w:val="00C03452"/>
    <w:rsid w:val="00C03A34"/>
    <w:rsid w:val="00C03BE6"/>
    <w:rsid w:val="00C04BEF"/>
    <w:rsid w:val="00C07071"/>
    <w:rsid w:val="00C1196C"/>
    <w:rsid w:val="00C12E98"/>
    <w:rsid w:val="00C13333"/>
    <w:rsid w:val="00C17B32"/>
    <w:rsid w:val="00C17C9E"/>
    <w:rsid w:val="00C2101C"/>
    <w:rsid w:val="00C21AF2"/>
    <w:rsid w:val="00C22A03"/>
    <w:rsid w:val="00C22CF4"/>
    <w:rsid w:val="00C2330B"/>
    <w:rsid w:val="00C2385F"/>
    <w:rsid w:val="00C23A04"/>
    <w:rsid w:val="00C246D8"/>
    <w:rsid w:val="00C247BF"/>
    <w:rsid w:val="00C252B6"/>
    <w:rsid w:val="00C272AD"/>
    <w:rsid w:val="00C345D2"/>
    <w:rsid w:val="00C34C6C"/>
    <w:rsid w:val="00C364A8"/>
    <w:rsid w:val="00C36CFC"/>
    <w:rsid w:val="00C3710D"/>
    <w:rsid w:val="00C376B6"/>
    <w:rsid w:val="00C43375"/>
    <w:rsid w:val="00C45556"/>
    <w:rsid w:val="00C4651B"/>
    <w:rsid w:val="00C47D47"/>
    <w:rsid w:val="00C5066D"/>
    <w:rsid w:val="00C537CA"/>
    <w:rsid w:val="00C547EB"/>
    <w:rsid w:val="00C54C42"/>
    <w:rsid w:val="00C5754A"/>
    <w:rsid w:val="00C57CE7"/>
    <w:rsid w:val="00C6150D"/>
    <w:rsid w:val="00C618A4"/>
    <w:rsid w:val="00C6246B"/>
    <w:rsid w:val="00C633B4"/>
    <w:rsid w:val="00C64085"/>
    <w:rsid w:val="00C6410D"/>
    <w:rsid w:val="00C64AC5"/>
    <w:rsid w:val="00C656FC"/>
    <w:rsid w:val="00C65D23"/>
    <w:rsid w:val="00C671AF"/>
    <w:rsid w:val="00C7083E"/>
    <w:rsid w:val="00C70AE2"/>
    <w:rsid w:val="00C730B2"/>
    <w:rsid w:val="00C7592C"/>
    <w:rsid w:val="00C77E51"/>
    <w:rsid w:val="00C833D3"/>
    <w:rsid w:val="00C8613F"/>
    <w:rsid w:val="00C87372"/>
    <w:rsid w:val="00C87750"/>
    <w:rsid w:val="00C878AF"/>
    <w:rsid w:val="00C91607"/>
    <w:rsid w:val="00C920E8"/>
    <w:rsid w:val="00C923C7"/>
    <w:rsid w:val="00C93A4C"/>
    <w:rsid w:val="00C93B20"/>
    <w:rsid w:val="00C93D0F"/>
    <w:rsid w:val="00C9646A"/>
    <w:rsid w:val="00CA526E"/>
    <w:rsid w:val="00CA5E5E"/>
    <w:rsid w:val="00CA6371"/>
    <w:rsid w:val="00CA674D"/>
    <w:rsid w:val="00CB0B62"/>
    <w:rsid w:val="00CB1694"/>
    <w:rsid w:val="00CB182A"/>
    <w:rsid w:val="00CB1AFB"/>
    <w:rsid w:val="00CB39A0"/>
    <w:rsid w:val="00CB3F14"/>
    <w:rsid w:val="00CB4418"/>
    <w:rsid w:val="00CB5188"/>
    <w:rsid w:val="00CC0B77"/>
    <w:rsid w:val="00CC3200"/>
    <w:rsid w:val="00CC43F8"/>
    <w:rsid w:val="00CC4A39"/>
    <w:rsid w:val="00CC51AD"/>
    <w:rsid w:val="00CC53C9"/>
    <w:rsid w:val="00CC65BA"/>
    <w:rsid w:val="00CC7C9C"/>
    <w:rsid w:val="00CD26C2"/>
    <w:rsid w:val="00CD2C76"/>
    <w:rsid w:val="00CD5A2D"/>
    <w:rsid w:val="00CD638D"/>
    <w:rsid w:val="00CE03E1"/>
    <w:rsid w:val="00CE03F2"/>
    <w:rsid w:val="00CE5F52"/>
    <w:rsid w:val="00CF1A4A"/>
    <w:rsid w:val="00CF1F0D"/>
    <w:rsid w:val="00CF1FA1"/>
    <w:rsid w:val="00CF3127"/>
    <w:rsid w:val="00CF6481"/>
    <w:rsid w:val="00CF6ACC"/>
    <w:rsid w:val="00CF7458"/>
    <w:rsid w:val="00CF770A"/>
    <w:rsid w:val="00D014C8"/>
    <w:rsid w:val="00D02CB0"/>
    <w:rsid w:val="00D031D7"/>
    <w:rsid w:val="00D04BDB"/>
    <w:rsid w:val="00D04EE9"/>
    <w:rsid w:val="00D125B0"/>
    <w:rsid w:val="00D14E07"/>
    <w:rsid w:val="00D1501D"/>
    <w:rsid w:val="00D163A5"/>
    <w:rsid w:val="00D2305D"/>
    <w:rsid w:val="00D24D05"/>
    <w:rsid w:val="00D24D80"/>
    <w:rsid w:val="00D32DDA"/>
    <w:rsid w:val="00D3325C"/>
    <w:rsid w:val="00D33717"/>
    <w:rsid w:val="00D34C65"/>
    <w:rsid w:val="00D36158"/>
    <w:rsid w:val="00D366CE"/>
    <w:rsid w:val="00D369DE"/>
    <w:rsid w:val="00D37E3F"/>
    <w:rsid w:val="00D40351"/>
    <w:rsid w:val="00D439B9"/>
    <w:rsid w:val="00D442E8"/>
    <w:rsid w:val="00D46EC8"/>
    <w:rsid w:val="00D50F10"/>
    <w:rsid w:val="00D52E31"/>
    <w:rsid w:val="00D5585B"/>
    <w:rsid w:val="00D56E92"/>
    <w:rsid w:val="00D60A69"/>
    <w:rsid w:val="00D61718"/>
    <w:rsid w:val="00D620C5"/>
    <w:rsid w:val="00D62E04"/>
    <w:rsid w:val="00D638DD"/>
    <w:rsid w:val="00D64924"/>
    <w:rsid w:val="00D65129"/>
    <w:rsid w:val="00D65A85"/>
    <w:rsid w:val="00D66B8F"/>
    <w:rsid w:val="00D66C59"/>
    <w:rsid w:val="00D72078"/>
    <w:rsid w:val="00D72B02"/>
    <w:rsid w:val="00D72CC5"/>
    <w:rsid w:val="00D73494"/>
    <w:rsid w:val="00D735C2"/>
    <w:rsid w:val="00D73E8A"/>
    <w:rsid w:val="00D7546B"/>
    <w:rsid w:val="00D76279"/>
    <w:rsid w:val="00D763C8"/>
    <w:rsid w:val="00D7661C"/>
    <w:rsid w:val="00D80498"/>
    <w:rsid w:val="00D80D08"/>
    <w:rsid w:val="00D81456"/>
    <w:rsid w:val="00D8181E"/>
    <w:rsid w:val="00D83459"/>
    <w:rsid w:val="00D846BA"/>
    <w:rsid w:val="00D84E6F"/>
    <w:rsid w:val="00D86B5A"/>
    <w:rsid w:val="00D87407"/>
    <w:rsid w:val="00D87F94"/>
    <w:rsid w:val="00D915B6"/>
    <w:rsid w:val="00D91901"/>
    <w:rsid w:val="00D91BB7"/>
    <w:rsid w:val="00D92328"/>
    <w:rsid w:val="00D92E48"/>
    <w:rsid w:val="00D93C14"/>
    <w:rsid w:val="00D95BF6"/>
    <w:rsid w:val="00DA0784"/>
    <w:rsid w:val="00DA142A"/>
    <w:rsid w:val="00DA2E18"/>
    <w:rsid w:val="00DA50D8"/>
    <w:rsid w:val="00DA6A99"/>
    <w:rsid w:val="00DB0F8E"/>
    <w:rsid w:val="00DB182B"/>
    <w:rsid w:val="00DB1FC6"/>
    <w:rsid w:val="00DB281A"/>
    <w:rsid w:val="00DB6A5F"/>
    <w:rsid w:val="00DC1CF4"/>
    <w:rsid w:val="00DC6C88"/>
    <w:rsid w:val="00DC6CB4"/>
    <w:rsid w:val="00DC6DAC"/>
    <w:rsid w:val="00DC7FCB"/>
    <w:rsid w:val="00DD114B"/>
    <w:rsid w:val="00DD18A1"/>
    <w:rsid w:val="00DD20DA"/>
    <w:rsid w:val="00DD25CA"/>
    <w:rsid w:val="00DD3501"/>
    <w:rsid w:val="00DD37C3"/>
    <w:rsid w:val="00DD445D"/>
    <w:rsid w:val="00DD5199"/>
    <w:rsid w:val="00DD74F5"/>
    <w:rsid w:val="00DD7F80"/>
    <w:rsid w:val="00DE0B30"/>
    <w:rsid w:val="00DE27CC"/>
    <w:rsid w:val="00DE2D3B"/>
    <w:rsid w:val="00DE504F"/>
    <w:rsid w:val="00DE5E0E"/>
    <w:rsid w:val="00DE61CA"/>
    <w:rsid w:val="00DE6220"/>
    <w:rsid w:val="00DE677E"/>
    <w:rsid w:val="00DF0A1A"/>
    <w:rsid w:val="00DF0B39"/>
    <w:rsid w:val="00DF16DA"/>
    <w:rsid w:val="00DF28CB"/>
    <w:rsid w:val="00DF4301"/>
    <w:rsid w:val="00DF4DF1"/>
    <w:rsid w:val="00DF565F"/>
    <w:rsid w:val="00DF6A5A"/>
    <w:rsid w:val="00E0192D"/>
    <w:rsid w:val="00E01E86"/>
    <w:rsid w:val="00E020A4"/>
    <w:rsid w:val="00E02D91"/>
    <w:rsid w:val="00E0465D"/>
    <w:rsid w:val="00E04CE6"/>
    <w:rsid w:val="00E053B9"/>
    <w:rsid w:val="00E06D9A"/>
    <w:rsid w:val="00E07AA2"/>
    <w:rsid w:val="00E07C65"/>
    <w:rsid w:val="00E12158"/>
    <w:rsid w:val="00E136B0"/>
    <w:rsid w:val="00E13AF6"/>
    <w:rsid w:val="00E1536F"/>
    <w:rsid w:val="00E15A35"/>
    <w:rsid w:val="00E163DD"/>
    <w:rsid w:val="00E20B0F"/>
    <w:rsid w:val="00E21518"/>
    <w:rsid w:val="00E2170A"/>
    <w:rsid w:val="00E22899"/>
    <w:rsid w:val="00E22FB5"/>
    <w:rsid w:val="00E24558"/>
    <w:rsid w:val="00E245C2"/>
    <w:rsid w:val="00E24A31"/>
    <w:rsid w:val="00E264D2"/>
    <w:rsid w:val="00E268C1"/>
    <w:rsid w:val="00E27500"/>
    <w:rsid w:val="00E277B8"/>
    <w:rsid w:val="00E31F3D"/>
    <w:rsid w:val="00E322FA"/>
    <w:rsid w:val="00E32781"/>
    <w:rsid w:val="00E3350B"/>
    <w:rsid w:val="00E335BF"/>
    <w:rsid w:val="00E36AD4"/>
    <w:rsid w:val="00E426CB"/>
    <w:rsid w:val="00E44304"/>
    <w:rsid w:val="00E44AD5"/>
    <w:rsid w:val="00E44E06"/>
    <w:rsid w:val="00E455C6"/>
    <w:rsid w:val="00E45A4F"/>
    <w:rsid w:val="00E460F4"/>
    <w:rsid w:val="00E50929"/>
    <w:rsid w:val="00E509AD"/>
    <w:rsid w:val="00E52A0B"/>
    <w:rsid w:val="00E54DF6"/>
    <w:rsid w:val="00E54EEA"/>
    <w:rsid w:val="00E55AA1"/>
    <w:rsid w:val="00E55B62"/>
    <w:rsid w:val="00E575E7"/>
    <w:rsid w:val="00E577BF"/>
    <w:rsid w:val="00E61A52"/>
    <w:rsid w:val="00E622C6"/>
    <w:rsid w:val="00E63D69"/>
    <w:rsid w:val="00E63EFB"/>
    <w:rsid w:val="00E65500"/>
    <w:rsid w:val="00E65D9B"/>
    <w:rsid w:val="00E6640F"/>
    <w:rsid w:val="00E7166A"/>
    <w:rsid w:val="00E72090"/>
    <w:rsid w:val="00E72517"/>
    <w:rsid w:val="00E72F4C"/>
    <w:rsid w:val="00E74A96"/>
    <w:rsid w:val="00E76588"/>
    <w:rsid w:val="00E76EAB"/>
    <w:rsid w:val="00E77BD4"/>
    <w:rsid w:val="00E84911"/>
    <w:rsid w:val="00E84B55"/>
    <w:rsid w:val="00E84B96"/>
    <w:rsid w:val="00E84EAD"/>
    <w:rsid w:val="00E85B6C"/>
    <w:rsid w:val="00E86029"/>
    <w:rsid w:val="00E873E7"/>
    <w:rsid w:val="00E9025F"/>
    <w:rsid w:val="00E90878"/>
    <w:rsid w:val="00E91261"/>
    <w:rsid w:val="00E9167E"/>
    <w:rsid w:val="00E91AA0"/>
    <w:rsid w:val="00E93585"/>
    <w:rsid w:val="00E95CA0"/>
    <w:rsid w:val="00E9660C"/>
    <w:rsid w:val="00EA0879"/>
    <w:rsid w:val="00EA0E81"/>
    <w:rsid w:val="00EA1353"/>
    <w:rsid w:val="00EA1B15"/>
    <w:rsid w:val="00EA2229"/>
    <w:rsid w:val="00EA3F03"/>
    <w:rsid w:val="00EA51D4"/>
    <w:rsid w:val="00EA582D"/>
    <w:rsid w:val="00EA7CFC"/>
    <w:rsid w:val="00EB27A7"/>
    <w:rsid w:val="00EB3EC3"/>
    <w:rsid w:val="00EB461B"/>
    <w:rsid w:val="00EB6B72"/>
    <w:rsid w:val="00EB7718"/>
    <w:rsid w:val="00EC0789"/>
    <w:rsid w:val="00EC07D5"/>
    <w:rsid w:val="00EC0897"/>
    <w:rsid w:val="00EC114D"/>
    <w:rsid w:val="00EC214B"/>
    <w:rsid w:val="00EC25A5"/>
    <w:rsid w:val="00EC2729"/>
    <w:rsid w:val="00EC2DE7"/>
    <w:rsid w:val="00EC3E4C"/>
    <w:rsid w:val="00EC7382"/>
    <w:rsid w:val="00ED23CA"/>
    <w:rsid w:val="00ED2A2F"/>
    <w:rsid w:val="00ED3671"/>
    <w:rsid w:val="00ED378D"/>
    <w:rsid w:val="00ED3B91"/>
    <w:rsid w:val="00ED52B0"/>
    <w:rsid w:val="00ED7010"/>
    <w:rsid w:val="00ED7786"/>
    <w:rsid w:val="00ED7E41"/>
    <w:rsid w:val="00EE0452"/>
    <w:rsid w:val="00EE0C46"/>
    <w:rsid w:val="00EE0F18"/>
    <w:rsid w:val="00EE0FF3"/>
    <w:rsid w:val="00EE2A50"/>
    <w:rsid w:val="00EE2BF3"/>
    <w:rsid w:val="00EE33CE"/>
    <w:rsid w:val="00EE36CF"/>
    <w:rsid w:val="00EE69FD"/>
    <w:rsid w:val="00EE6D73"/>
    <w:rsid w:val="00EF0B36"/>
    <w:rsid w:val="00EF297A"/>
    <w:rsid w:val="00EF39DB"/>
    <w:rsid w:val="00EF53C1"/>
    <w:rsid w:val="00EF5C4A"/>
    <w:rsid w:val="00EF6219"/>
    <w:rsid w:val="00EF6D17"/>
    <w:rsid w:val="00F02949"/>
    <w:rsid w:val="00F035BD"/>
    <w:rsid w:val="00F0462B"/>
    <w:rsid w:val="00F04D9C"/>
    <w:rsid w:val="00F05C77"/>
    <w:rsid w:val="00F0747C"/>
    <w:rsid w:val="00F1041E"/>
    <w:rsid w:val="00F10975"/>
    <w:rsid w:val="00F12178"/>
    <w:rsid w:val="00F1405E"/>
    <w:rsid w:val="00F148C3"/>
    <w:rsid w:val="00F14D5C"/>
    <w:rsid w:val="00F15BED"/>
    <w:rsid w:val="00F1615A"/>
    <w:rsid w:val="00F170FC"/>
    <w:rsid w:val="00F201B7"/>
    <w:rsid w:val="00F251A6"/>
    <w:rsid w:val="00F25977"/>
    <w:rsid w:val="00F25D91"/>
    <w:rsid w:val="00F261D7"/>
    <w:rsid w:val="00F27520"/>
    <w:rsid w:val="00F302A7"/>
    <w:rsid w:val="00F346AE"/>
    <w:rsid w:val="00F34BA4"/>
    <w:rsid w:val="00F36715"/>
    <w:rsid w:val="00F3748C"/>
    <w:rsid w:val="00F37990"/>
    <w:rsid w:val="00F37A4A"/>
    <w:rsid w:val="00F40F7D"/>
    <w:rsid w:val="00F4231B"/>
    <w:rsid w:val="00F42B88"/>
    <w:rsid w:val="00F436CB"/>
    <w:rsid w:val="00F4396B"/>
    <w:rsid w:val="00F44208"/>
    <w:rsid w:val="00F457FB"/>
    <w:rsid w:val="00F45E40"/>
    <w:rsid w:val="00F4649D"/>
    <w:rsid w:val="00F4755E"/>
    <w:rsid w:val="00F515AC"/>
    <w:rsid w:val="00F53E07"/>
    <w:rsid w:val="00F540D0"/>
    <w:rsid w:val="00F544C0"/>
    <w:rsid w:val="00F56EF9"/>
    <w:rsid w:val="00F573A2"/>
    <w:rsid w:val="00F57857"/>
    <w:rsid w:val="00F65EA7"/>
    <w:rsid w:val="00F67937"/>
    <w:rsid w:val="00F70680"/>
    <w:rsid w:val="00F7101A"/>
    <w:rsid w:val="00F71A06"/>
    <w:rsid w:val="00F726CC"/>
    <w:rsid w:val="00F749D5"/>
    <w:rsid w:val="00F74A08"/>
    <w:rsid w:val="00F75156"/>
    <w:rsid w:val="00F75FBA"/>
    <w:rsid w:val="00F77415"/>
    <w:rsid w:val="00F80145"/>
    <w:rsid w:val="00F80BEE"/>
    <w:rsid w:val="00F816E3"/>
    <w:rsid w:val="00F819B1"/>
    <w:rsid w:val="00F82097"/>
    <w:rsid w:val="00F822B5"/>
    <w:rsid w:val="00F825F0"/>
    <w:rsid w:val="00F835E3"/>
    <w:rsid w:val="00F851C4"/>
    <w:rsid w:val="00F85B0E"/>
    <w:rsid w:val="00F85F34"/>
    <w:rsid w:val="00F86184"/>
    <w:rsid w:val="00F87077"/>
    <w:rsid w:val="00F870A9"/>
    <w:rsid w:val="00F91F1F"/>
    <w:rsid w:val="00F92871"/>
    <w:rsid w:val="00F958B6"/>
    <w:rsid w:val="00F96877"/>
    <w:rsid w:val="00F9708C"/>
    <w:rsid w:val="00F97570"/>
    <w:rsid w:val="00F97963"/>
    <w:rsid w:val="00FA1019"/>
    <w:rsid w:val="00FA1ACF"/>
    <w:rsid w:val="00FA2C70"/>
    <w:rsid w:val="00FA442A"/>
    <w:rsid w:val="00FA4B31"/>
    <w:rsid w:val="00FA5432"/>
    <w:rsid w:val="00FA6D40"/>
    <w:rsid w:val="00FA70B3"/>
    <w:rsid w:val="00FA7AE1"/>
    <w:rsid w:val="00FB03BD"/>
    <w:rsid w:val="00FB095E"/>
    <w:rsid w:val="00FB1981"/>
    <w:rsid w:val="00FB28C8"/>
    <w:rsid w:val="00FB3EB1"/>
    <w:rsid w:val="00FC2730"/>
    <w:rsid w:val="00FC2A3B"/>
    <w:rsid w:val="00FC47D3"/>
    <w:rsid w:val="00FC6103"/>
    <w:rsid w:val="00FD27F6"/>
    <w:rsid w:val="00FD2A48"/>
    <w:rsid w:val="00FD2AE6"/>
    <w:rsid w:val="00FD2B2E"/>
    <w:rsid w:val="00FD2BDD"/>
    <w:rsid w:val="00FD2BFB"/>
    <w:rsid w:val="00FD3BC1"/>
    <w:rsid w:val="00FD3EEF"/>
    <w:rsid w:val="00FD4BAC"/>
    <w:rsid w:val="00FD5B4E"/>
    <w:rsid w:val="00FD6635"/>
    <w:rsid w:val="00FE76F5"/>
    <w:rsid w:val="00FE78F4"/>
    <w:rsid w:val="00FF00C0"/>
    <w:rsid w:val="00FF3E74"/>
    <w:rsid w:val="00FF40F8"/>
    <w:rsid w:val="00FF450F"/>
    <w:rsid w:val="00FF5B17"/>
    <w:rsid w:val="00FF60D2"/>
    <w:rsid w:val="00FF63E8"/>
    <w:rsid w:val="00FF6471"/>
    <w:rsid w:val="00FF6B45"/>
    <w:rsid w:val="00FF740F"/>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E7"/>
    <w:rPr>
      <w:rFonts w:ascii="Times New Roman" w:eastAsia="Times New Roman" w:hAnsi="Times New Roman"/>
      <w:sz w:val="24"/>
      <w:szCs w:val="24"/>
    </w:rPr>
  </w:style>
  <w:style w:type="paragraph" w:styleId="Heading1">
    <w:name w:val="heading 1"/>
    <w:aliases w:val="Char Char Char Char Char Char Char Char Char"/>
    <w:basedOn w:val="Normal"/>
    <w:next w:val="Normal"/>
    <w:link w:val="Heading1Char"/>
    <w:qFormat/>
    <w:rsid w:val="00E873E7"/>
    <w:pPr>
      <w:keepNext/>
      <w:spacing w:after="60"/>
      <w:jc w:val="center"/>
      <w:outlineLvl w:val="0"/>
    </w:pPr>
    <w:rPr>
      <w:rFonts w:cs="Arial"/>
      <w:b/>
      <w:bCs/>
      <w:kern w:val="32"/>
      <w:sz w:val="28"/>
      <w:szCs w:val="32"/>
    </w:rPr>
  </w:style>
  <w:style w:type="paragraph" w:styleId="Heading2">
    <w:name w:val="heading 2"/>
    <w:basedOn w:val="Normal"/>
    <w:next w:val="Normal"/>
    <w:link w:val="Heading2Char"/>
    <w:autoRedefine/>
    <w:unhideWhenUsed/>
    <w:qFormat/>
    <w:rsid w:val="00EB7718"/>
    <w:pPr>
      <w:keepNext/>
      <w:jc w:val="center"/>
      <w:outlineLvl w:val="1"/>
    </w:pPr>
    <w:rPr>
      <w:b/>
      <w:bCs/>
      <w:iCs/>
      <w:sz w:val="28"/>
      <w:szCs w:val="28"/>
      <w:lang w:bidi="en-US"/>
    </w:rPr>
  </w:style>
  <w:style w:type="paragraph" w:styleId="Heading3">
    <w:name w:val="heading 3"/>
    <w:basedOn w:val="Normal"/>
    <w:next w:val="Normal"/>
    <w:link w:val="Heading3Char"/>
    <w:unhideWhenUsed/>
    <w:qFormat/>
    <w:rsid w:val="00941207"/>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unhideWhenUsed/>
    <w:qFormat/>
    <w:rsid w:val="00941207"/>
    <w:pPr>
      <w:keepNext/>
      <w:spacing w:before="240" w:after="60"/>
      <w:outlineLvl w:val="3"/>
    </w:pPr>
    <w:rPr>
      <w:b/>
      <w:bCs/>
      <w:sz w:val="28"/>
      <w:szCs w:val="28"/>
      <w:lang w:bidi="en-US"/>
    </w:rPr>
  </w:style>
  <w:style w:type="paragraph" w:styleId="Heading5">
    <w:name w:val="heading 5"/>
    <w:basedOn w:val="Normal"/>
    <w:next w:val="Normal"/>
    <w:link w:val="Heading5Char"/>
    <w:unhideWhenUsed/>
    <w:qFormat/>
    <w:rsid w:val="00941207"/>
    <w:pPr>
      <w:spacing w:before="240" w:after="60"/>
      <w:outlineLvl w:val="4"/>
    </w:pPr>
    <w:rPr>
      <w:b/>
      <w:bCs/>
      <w:i/>
      <w:iCs/>
      <w:sz w:val="26"/>
      <w:szCs w:val="26"/>
      <w:lang w:bidi="en-US"/>
    </w:rPr>
  </w:style>
  <w:style w:type="paragraph" w:styleId="Heading6">
    <w:name w:val="heading 6"/>
    <w:basedOn w:val="Normal"/>
    <w:next w:val="Normal"/>
    <w:link w:val="Heading6Char"/>
    <w:unhideWhenUsed/>
    <w:qFormat/>
    <w:rsid w:val="00941207"/>
    <w:pPr>
      <w:spacing w:before="240" w:after="60"/>
      <w:outlineLvl w:val="5"/>
    </w:pPr>
    <w:rPr>
      <w:b/>
      <w:bCs/>
      <w:sz w:val="22"/>
      <w:szCs w:val="22"/>
      <w:lang w:bidi="en-US"/>
    </w:rPr>
  </w:style>
  <w:style w:type="paragraph" w:styleId="Heading7">
    <w:name w:val="heading 7"/>
    <w:basedOn w:val="Normal"/>
    <w:next w:val="Normal"/>
    <w:link w:val="Heading7Char"/>
    <w:unhideWhenUsed/>
    <w:qFormat/>
    <w:rsid w:val="00941207"/>
    <w:pPr>
      <w:spacing w:before="240" w:after="60"/>
      <w:outlineLvl w:val="6"/>
    </w:pPr>
    <w:rPr>
      <w:sz w:val="22"/>
      <w:lang w:bidi="en-US"/>
    </w:rPr>
  </w:style>
  <w:style w:type="paragraph" w:styleId="Heading8">
    <w:name w:val="heading 8"/>
    <w:basedOn w:val="Normal"/>
    <w:next w:val="Normal"/>
    <w:link w:val="Heading8Char"/>
    <w:unhideWhenUsed/>
    <w:qFormat/>
    <w:rsid w:val="00941207"/>
    <w:pPr>
      <w:spacing w:before="240" w:after="60"/>
      <w:outlineLvl w:val="7"/>
    </w:pPr>
    <w:rPr>
      <w:i/>
      <w:iCs/>
      <w:sz w:val="22"/>
      <w:lang w:bidi="en-US"/>
    </w:rPr>
  </w:style>
  <w:style w:type="paragraph" w:styleId="Heading9">
    <w:name w:val="heading 9"/>
    <w:basedOn w:val="Normal"/>
    <w:next w:val="Normal"/>
    <w:link w:val="Heading9Char"/>
    <w:unhideWhenUsed/>
    <w:qFormat/>
    <w:rsid w:val="00941207"/>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Char Char Char Char Char Char"/>
    <w:link w:val="Heading1"/>
    <w:rsid w:val="00E873E7"/>
    <w:rPr>
      <w:rFonts w:ascii="Times New Roman" w:eastAsia="Times New Roman" w:hAnsi="Times New Roman" w:cs="Arial"/>
      <w:b/>
      <w:bCs/>
      <w:kern w:val="32"/>
      <w:sz w:val="28"/>
      <w:szCs w:val="32"/>
    </w:rPr>
  </w:style>
  <w:style w:type="character" w:customStyle="1" w:styleId="Heading2Char">
    <w:name w:val="Heading 2 Char"/>
    <w:link w:val="Heading2"/>
    <w:rsid w:val="00EB7718"/>
    <w:rPr>
      <w:rFonts w:ascii="Times New Roman" w:eastAsia="Times New Roman" w:hAnsi="Times New Roman"/>
      <w:b/>
      <w:bCs/>
      <w:iCs/>
      <w:sz w:val="28"/>
      <w:szCs w:val="28"/>
      <w:lang w:bidi="en-US"/>
    </w:rPr>
  </w:style>
  <w:style w:type="character" w:customStyle="1" w:styleId="Heading3Char">
    <w:name w:val="Heading 3 Char"/>
    <w:link w:val="Heading3"/>
    <w:semiHidden/>
    <w:rsid w:val="00941207"/>
    <w:rPr>
      <w:rFonts w:ascii="Cambria" w:eastAsia="Times New Roman" w:hAnsi="Cambria" w:cs="Times New Roman"/>
      <w:b/>
      <w:bCs/>
      <w:sz w:val="26"/>
      <w:szCs w:val="26"/>
      <w:lang w:bidi="en-US"/>
    </w:rPr>
  </w:style>
  <w:style w:type="character" w:customStyle="1" w:styleId="Heading4Char">
    <w:name w:val="Heading 4 Char"/>
    <w:link w:val="Heading4"/>
    <w:uiPriority w:val="9"/>
    <w:semiHidden/>
    <w:rsid w:val="00941207"/>
    <w:rPr>
      <w:rFonts w:ascii="Times New Roman" w:eastAsia="Times New Roman" w:hAnsi="Times New Roman" w:cs="Times New Roman"/>
      <w:b/>
      <w:bCs/>
      <w:sz w:val="28"/>
      <w:szCs w:val="28"/>
      <w:lang w:bidi="en-US"/>
    </w:rPr>
  </w:style>
  <w:style w:type="character" w:customStyle="1" w:styleId="Heading5Char">
    <w:name w:val="Heading 5 Char"/>
    <w:link w:val="Heading5"/>
    <w:uiPriority w:val="9"/>
    <w:semiHidden/>
    <w:rsid w:val="00941207"/>
    <w:rPr>
      <w:rFonts w:ascii="Times New Roman" w:eastAsia="Times New Roman" w:hAnsi="Times New Roman" w:cs="Times New Roman"/>
      <w:b/>
      <w:bCs/>
      <w:i/>
      <w:iCs/>
      <w:sz w:val="26"/>
      <w:szCs w:val="26"/>
      <w:lang w:bidi="en-US"/>
    </w:rPr>
  </w:style>
  <w:style w:type="character" w:customStyle="1" w:styleId="Heading6Char">
    <w:name w:val="Heading 6 Char"/>
    <w:link w:val="Heading6"/>
    <w:uiPriority w:val="9"/>
    <w:semiHidden/>
    <w:rsid w:val="00941207"/>
    <w:rPr>
      <w:rFonts w:ascii="Times New Roman" w:eastAsia="Times New Roman" w:hAnsi="Times New Roman" w:cs="Times New Roman"/>
      <w:b/>
      <w:bCs/>
      <w:lang w:bidi="en-US"/>
    </w:rPr>
  </w:style>
  <w:style w:type="character" w:customStyle="1" w:styleId="Heading7Char">
    <w:name w:val="Heading 7 Char"/>
    <w:link w:val="Heading7"/>
    <w:uiPriority w:val="9"/>
    <w:semiHidden/>
    <w:rsid w:val="00941207"/>
    <w:rPr>
      <w:rFonts w:ascii="Times New Roman" w:eastAsia="Times New Roman" w:hAnsi="Times New Roman" w:cs="Times New Roman"/>
      <w:szCs w:val="24"/>
      <w:lang w:bidi="en-US"/>
    </w:rPr>
  </w:style>
  <w:style w:type="character" w:customStyle="1" w:styleId="Heading8Char">
    <w:name w:val="Heading 8 Char"/>
    <w:link w:val="Heading8"/>
    <w:uiPriority w:val="9"/>
    <w:semiHidden/>
    <w:rsid w:val="00941207"/>
    <w:rPr>
      <w:rFonts w:ascii="Times New Roman" w:eastAsia="Times New Roman" w:hAnsi="Times New Roman" w:cs="Times New Roman"/>
      <w:i/>
      <w:iCs/>
      <w:szCs w:val="24"/>
      <w:lang w:bidi="en-US"/>
    </w:rPr>
  </w:style>
  <w:style w:type="character" w:customStyle="1" w:styleId="Heading9Char">
    <w:name w:val="Heading 9 Char"/>
    <w:link w:val="Heading9"/>
    <w:uiPriority w:val="9"/>
    <w:semiHidden/>
    <w:rsid w:val="00941207"/>
    <w:rPr>
      <w:rFonts w:ascii="Cambria" w:eastAsia="Times New Roman" w:hAnsi="Cambria" w:cs="Times New Roman"/>
      <w:lang w:bidi="en-US"/>
    </w:rPr>
  </w:style>
  <w:style w:type="paragraph" w:styleId="Footer">
    <w:name w:val="footer"/>
    <w:basedOn w:val="Normal"/>
    <w:link w:val="FooterChar"/>
    <w:uiPriority w:val="99"/>
    <w:rsid w:val="00E873E7"/>
    <w:pPr>
      <w:tabs>
        <w:tab w:val="center" w:pos="4320"/>
        <w:tab w:val="right" w:pos="8640"/>
      </w:tabs>
    </w:pPr>
    <w:rPr>
      <w:szCs w:val="20"/>
    </w:rPr>
  </w:style>
  <w:style w:type="character" w:customStyle="1" w:styleId="FooterChar">
    <w:name w:val="Footer Char"/>
    <w:link w:val="Footer"/>
    <w:uiPriority w:val="99"/>
    <w:rsid w:val="00E873E7"/>
    <w:rPr>
      <w:rFonts w:ascii="Times New Roman" w:eastAsia="Times New Roman" w:hAnsi="Times New Roman" w:cs="Times New Roman"/>
      <w:sz w:val="24"/>
      <w:szCs w:val="20"/>
    </w:rPr>
  </w:style>
  <w:style w:type="character" w:styleId="PageNumber">
    <w:name w:val="page number"/>
    <w:basedOn w:val="DefaultParagraphFont"/>
    <w:rsid w:val="00E873E7"/>
  </w:style>
  <w:style w:type="paragraph" w:styleId="Header">
    <w:name w:val="header"/>
    <w:basedOn w:val="Normal"/>
    <w:link w:val="HeaderChar"/>
    <w:uiPriority w:val="99"/>
    <w:rsid w:val="00E873E7"/>
    <w:pPr>
      <w:tabs>
        <w:tab w:val="center" w:pos="4320"/>
        <w:tab w:val="right" w:pos="8640"/>
      </w:tabs>
    </w:pPr>
    <w:rPr>
      <w:szCs w:val="20"/>
    </w:rPr>
  </w:style>
  <w:style w:type="character" w:customStyle="1" w:styleId="HeaderChar">
    <w:name w:val="Header Char"/>
    <w:link w:val="Header"/>
    <w:uiPriority w:val="99"/>
    <w:rsid w:val="00E873E7"/>
    <w:rPr>
      <w:rFonts w:ascii="Times New Roman" w:eastAsia="Times New Roman" w:hAnsi="Times New Roman" w:cs="Times New Roman"/>
      <w:sz w:val="24"/>
      <w:szCs w:val="20"/>
    </w:rPr>
  </w:style>
  <w:style w:type="paragraph" w:styleId="BalloonText">
    <w:name w:val="Balloon Text"/>
    <w:basedOn w:val="Normal"/>
    <w:link w:val="BalloonTextChar"/>
    <w:unhideWhenUsed/>
    <w:rsid w:val="00E873E7"/>
    <w:rPr>
      <w:rFonts w:ascii="Tahoma" w:hAnsi="Tahoma" w:cs="Tahoma"/>
      <w:sz w:val="16"/>
      <w:szCs w:val="16"/>
    </w:rPr>
  </w:style>
  <w:style w:type="character" w:customStyle="1" w:styleId="BalloonTextChar">
    <w:name w:val="Balloon Text Char"/>
    <w:link w:val="BalloonText"/>
    <w:rsid w:val="00E873E7"/>
    <w:rPr>
      <w:rFonts w:ascii="Tahoma" w:eastAsia="Times New Roman" w:hAnsi="Tahoma" w:cs="Tahoma"/>
      <w:sz w:val="16"/>
      <w:szCs w:val="16"/>
    </w:rPr>
  </w:style>
  <w:style w:type="paragraph" w:styleId="BodyText">
    <w:name w:val="Body Text"/>
    <w:basedOn w:val="Normal"/>
    <w:link w:val="BodyTextChar"/>
    <w:rsid w:val="00E873E7"/>
    <w:pPr>
      <w:jc w:val="both"/>
    </w:pPr>
  </w:style>
  <w:style w:type="character" w:customStyle="1" w:styleId="BodyTextChar">
    <w:name w:val="Body Text Char"/>
    <w:link w:val="BodyText"/>
    <w:rsid w:val="00E873E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873E7"/>
    <w:rPr>
      <w:sz w:val="20"/>
      <w:szCs w:val="20"/>
    </w:rPr>
  </w:style>
  <w:style w:type="character" w:customStyle="1" w:styleId="FootnoteTextChar">
    <w:name w:val="Footnote Text Char"/>
    <w:link w:val="FootnoteText"/>
    <w:uiPriority w:val="99"/>
    <w:rsid w:val="00E873E7"/>
    <w:rPr>
      <w:rFonts w:ascii="Times New Roman" w:eastAsia="Times New Roman" w:hAnsi="Times New Roman" w:cs="Times New Roman"/>
      <w:sz w:val="20"/>
      <w:szCs w:val="20"/>
    </w:rPr>
  </w:style>
  <w:style w:type="character" w:styleId="FootnoteReference">
    <w:name w:val="footnote reference"/>
    <w:uiPriority w:val="99"/>
    <w:semiHidden/>
    <w:unhideWhenUsed/>
    <w:rsid w:val="00E873E7"/>
    <w:rPr>
      <w:vertAlign w:val="superscript"/>
    </w:rPr>
  </w:style>
  <w:style w:type="paragraph" w:styleId="EndnoteText">
    <w:name w:val="endnote text"/>
    <w:basedOn w:val="Normal"/>
    <w:link w:val="EndnoteTextChar"/>
    <w:rsid w:val="00E873E7"/>
    <w:rPr>
      <w:sz w:val="20"/>
      <w:szCs w:val="20"/>
    </w:rPr>
  </w:style>
  <w:style w:type="character" w:customStyle="1" w:styleId="EndnoteTextChar">
    <w:name w:val="Endnote Text Char"/>
    <w:link w:val="EndnoteText"/>
    <w:rsid w:val="00E873E7"/>
    <w:rPr>
      <w:rFonts w:ascii="Times New Roman" w:eastAsia="Times New Roman" w:hAnsi="Times New Roman" w:cs="Times New Roman"/>
      <w:sz w:val="20"/>
      <w:szCs w:val="20"/>
    </w:rPr>
  </w:style>
  <w:style w:type="paragraph" w:customStyle="1" w:styleId="TOCHeader">
    <w:name w:val="TOC Header"/>
    <w:basedOn w:val="Normal"/>
    <w:link w:val="TOCHeaderChar"/>
    <w:rsid w:val="00E873E7"/>
    <w:pPr>
      <w:tabs>
        <w:tab w:val="left" w:pos="2685"/>
      </w:tabs>
    </w:pPr>
    <w:rPr>
      <w:b/>
    </w:rPr>
  </w:style>
  <w:style w:type="character" w:customStyle="1" w:styleId="TOCHeaderChar">
    <w:name w:val="TOC Header Char"/>
    <w:link w:val="TOCHeader"/>
    <w:locked/>
    <w:rsid w:val="00E873E7"/>
    <w:rPr>
      <w:rFonts w:ascii="Times New Roman" w:eastAsia="Times New Roman" w:hAnsi="Times New Roman" w:cs="Times New Roman"/>
      <w:b/>
      <w:sz w:val="24"/>
      <w:szCs w:val="24"/>
    </w:rPr>
  </w:style>
  <w:style w:type="paragraph" w:styleId="ListParagraph">
    <w:name w:val="List Paragraph"/>
    <w:basedOn w:val="Normal"/>
    <w:uiPriority w:val="34"/>
    <w:qFormat/>
    <w:rsid w:val="00E873E7"/>
    <w:pPr>
      <w:ind w:left="720"/>
      <w:contextualSpacing/>
    </w:pPr>
  </w:style>
  <w:style w:type="character" w:styleId="Emphasis">
    <w:name w:val="Emphasis"/>
    <w:uiPriority w:val="20"/>
    <w:qFormat/>
    <w:rsid w:val="00E873E7"/>
    <w:rPr>
      <w:i/>
      <w:iCs/>
    </w:rPr>
  </w:style>
  <w:style w:type="character" w:styleId="Strong">
    <w:name w:val="Strong"/>
    <w:uiPriority w:val="22"/>
    <w:qFormat/>
    <w:rsid w:val="00E873E7"/>
    <w:rPr>
      <w:b/>
      <w:bCs/>
    </w:rPr>
  </w:style>
  <w:style w:type="table" w:styleId="TableGrid">
    <w:name w:val="Table Grid"/>
    <w:basedOn w:val="TableNormal"/>
    <w:rsid w:val="00E873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73E7"/>
    <w:rPr>
      <w:rFonts w:cs="Times New Roman"/>
      <w:color w:val="0000FF"/>
      <w:u w:val="single"/>
    </w:rPr>
  </w:style>
  <w:style w:type="paragraph" w:styleId="NormalWeb">
    <w:name w:val="Normal (Web)"/>
    <w:basedOn w:val="Normal"/>
    <w:uiPriority w:val="99"/>
    <w:rsid w:val="00E873E7"/>
    <w:pPr>
      <w:spacing w:before="100" w:beforeAutospacing="1" w:after="100" w:afterAutospacing="1"/>
    </w:pPr>
  </w:style>
  <w:style w:type="paragraph" w:customStyle="1" w:styleId="NormalJustified">
    <w:name w:val="Normal + Justified"/>
    <w:basedOn w:val="Normal"/>
    <w:link w:val="NormalJustifiedChar"/>
    <w:rsid w:val="00E873E7"/>
    <w:pPr>
      <w:jc w:val="both"/>
    </w:pPr>
  </w:style>
  <w:style w:type="character" w:customStyle="1" w:styleId="NormalJustifiedChar">
    <w:name w:val="Normal + Justified Char"/>
    <w:link w:val="NormalJustified"/>
    <w:rsid w:val="00E873E7"/>
    <w:rPr>
      <w:rFonts w:ascii="Times New Roman" w:eastAsia="Times New Roman" w:hAnsi="Times New Roman" w:cs="Times New Roman"/>
      <w:sz w:val="24"/>
      <w:szCs w:val="24"/>
    </w:rPr>
  </w:style>
  <w:style w:type="paragraph" w:customStyle="1" w:styleId="Default">
    <w:name w:val="Default"/>
    <w:rsid w:val="00E873E7"/>
    <w:pPr>
      <w:autoSpaceDE w:val="0"/>
      <w:autoSpaceDN w:val="0"/>
      <w:adjustRightInd w:val="0"/>
    </w:pPr>
    <w:rPr>
      <w:rFonts w:ascii="Times New Roman" w:eastAsia="Times New Roman" w:hAnsi="Times New Roman"/>
      <w:color w:val="000000"/>
      <w:sz w:val="24"/>
      <w:szCs w:val="24"/>
    </w:rPr>
  </w:style>
  <w:style w:type="paragraph" w:customStyle="1" w:styleId="normaldebs000030DEBS000014DEBS000014DEBS000016">
    <w:name w:val="normaldebs000030_DEBS000014_DEBS000014_DEBS000016"/>
    <w:basedOn w:val="Default"/>
    <w:next w:val="Default"/>
    <w:rsid w:val="00E873E7"/>
    <w:rPr>
      <w:color w:val="auto"/>
    </w:rPr>
  </w:style>
  <w:style w:type="paragraph" w:customStyle="1" w:styleId="NormalTimes">
    <w:name w:val="Normal + Times"/>
    <w:aliases w:val="Justified"/>
    <w:basedOn w:val="Normal"/>
    <w:rsid w:val="00E873E7"/>
    <w:pPr>
      <w:keepNext/>
      <w:keepLines/>
      <w:jc w:val="both"/>
    </w:pPr>
    <w:rPr>
      <w:rFonts w:ascii="Times" w:hAnsi="Times"/>
      <w:spacing w:val="-4"/>
    </w:rPr>
  </w:style>
  <w:style w:type="paragraph" w:customStyle="1" w:styleId="Level1">
    <w:name w:val="Level 1"/>
    <w:basedOn w:val="Normal"/>
    <w:rsid w:val="00E873E7"/>
    <w:pPr>
      <w:widowControl w:val="0"/>
      <w:autoSpaceDE w:val="0"/>
      <w:autoSpaceDN w:val="0"/>
      <w:adjustRightInd w:val="0"/>
      <w:ind w:left="360" w:hanging="360"/>
    </w:pPr>
  </w:style>
  <w:style w:type="paragraph" w:customStyle="1" w:styleId="OmniPage4">
    <w:name w:val="OmniPage #4"/>
    <w:basedOn w:val="Normal"/>
    <w:rsid w:val="00E873E7"/>
    <w:pPr>
      <w:spacing w:line="280" w:lineRule="exact"/>
    </w:pPr>
    <w:rPr>
      <w:sz w:val="20"/>
      <w:szCs w:val="20"/>
    </w:rPr>
  </w:style>
  <w:style w:type="paragraph" w:styleId="ListBullet2">
    <w:name w:val="List Bullet 2"/>
    <w:basedOn w:val="Normal"/>
    <w:rsid w:val="00E873E7"/>
    <w:pPr>
      <w:numPr>
        <w:numId w:val="1"/>
      </w:numPr>
    </w:pPr>
  </w:style>
  <w:style w:type="character" w:customStyle="1" w:styleId="CommentTextChar">
    <w:name w:val="Comment Text Char"/>
    <w:link w:val="CommentText"/>
    <w:uiPriority w:val="99"/>
    <w:rsid w:val="00E873E7"/>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873E7"/>
    <w:rPr>
      <w:sz w:val="20"/>
      <w:szCs w:val="20"/>
    </w:rPr>
  </w:style>
  <w:style w:type="character" w:customStyle="1" w:styleId="CommentSubjectChar">
    <w:name w:val="Comment Subject Char"/>
    <w:link w:val="CommentSubject"/>
    <w:uiPriority w:val="99"/>
    <w:semiHidden/>
    <w:rsid w:val="00E873E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E873E7"/>
    <w:rPr>
      <w:b/>
      <w:bCs/>
    </w:rPr>
  </w:style>
  <w:style w:type="character" w:customStyle="1" w:styleId="apple-style-span">
    <w:name w:val="apple-style-span"/>
    <w:basedOn w:val="DefaultParagraphFont"/>
    <w:rsid w:val="00E873E7"/>
  </w:style>
  <w:style w:type="character" w:customStyle="1" w:styleId="apple-converted-space">
    <w:name w:val="apple-converted-space"/>
    <w:basedOn w:val="DefaultParagraphFont"/>
    <w:rsid w:val="00E873E7"/>
  </w:style>
  <w:style w:type="paragraph" w:customStyle="1" w:styleId="xmsonormal">
    <w:name w:val="x_msonormal"/>
    <w:basedOn w:val="Normal"/>
    <w:rsid w:val="00E873E7"/>
    <w:pPr>
      <w:spacing w:before="100" w:beforeAutospacing="1" w:after="100" w:afterAutospacing="1"/>
    </w:pPr>
  </w:style>
  <w:style w:type="paragraph" w:customStyle="1" w:styleId="default0">
    <w:name w:val="default"/>
    <w:basedOn w:val="Normal"/>
    <w:uiPriority w:val="99"/>
    <w:rsid w:val="00E873E7"/>
    <w:pPr>
      <w:spacing w:before="100" w:beforeAutospacing="1" w:after="100" w:afterAutospacing="1"/>
    </w:pPr>
  </w:style>
  <w:style w:type="paragraph" w:styleId="TOCHeading">
    <w:name w:val="TOC Heading"/>
    <w:basedOn w:val="Heading1"/>
    <w:next w:val="Normal"/>
    <w:uiPriority w:val="39"/>
    <w:unhideWhenUsed/>
    <w:qFormat/>
    <w:rsid w:val="00E873E7"/>
    <w:pPr>
      <w:keepLines/>
      <w:spacing w:before="480" w:after="0" w:line="276" w:lineRule="auto"/>
      <w:jc w:val="left"/>
      <w:outlineLvl w:val="9"/>
    </w:pPr>
    <w:rPr>
      <w:rFonts w:ascii="Cambria" w:hAnsi="Cambria" w:cs="Times New Roman"/>
      <w:color w:val="365F91"/>
      <w:kern w:val="0"/>
      <w:szCs w:val="28"/>
    </w:rPr>
  </w:style>
  <w:style w:type="paragraph" w:styleId="TOC1">
    <w:name w:val="toc 1"/>
    <w:basedOn w:val="Normal"/>
    <w:next w:val="Normal"/>
    <w:autoRedefine/>
    <w:uiPriority w:val="39"/>
    <w:unhideWhenUsed/>
    <w:qFormat/>
    <w:rsid w:val="00E873E7"/>
    <w:pPr>
      <w:tabs>
        <w:tab w:val="left" w:pos="720"/>
        <w:tab w:val="right" w:leader="dot" w:pos="9350"/>
      </w:tabs>
    </w:pPr>
    <w:rPr>
      <w:b/>
      <w:noProof/>
    </w:rPr>
  </w:style>
  <w:style w:type="character" w:customStyle="1" w:styleId="DocumentMapChar">
    <w:name w:val="Document Map Char"/>
    <w:link w:val="DocumentMap"/>
    <w:rsid w:val="00E873E7"/>
    <w:rPr>
      <w:rFonts w:ascii="Tahoma" w:eastAsia="Times New Roman" w:hAnsi="Tahoma" w:cs="Tahoma"/>
      <w:sz w:val="16"/>
      <w:szCs w:val="16"/>
    </w:rPr>
  </w:style>
  <w:style w:type="paragraph" w:styleId="DocumentMap">
    <w:name w:val="Document Map"/>
    <w:basedOn w:val="Normal"/>
    <w:link w:val="DocumentMapChar"/>
    <w:unhideWhenUsed/>
    <w:rsid w:val="00E873E7"/>
    <w:rPr>
      <w:rFonts w:ascii="Tahoma" w:hAnsi="Tahoma" w:cs="Tahoma"/>
      <w:sz w:val="16"/>
      <w:szCs w:val="16"/>
    </w:rPr>
  </w:style>
  <w:style w:type="paragraph" w:styleId="PlainText">
    <w:name w:val="Plain Text"/>
    <w:basedOn w:val="Normal"/>
    <w:link w:val="PlainTextChar"/>
    <w:uiPriority w:val="99"/>
    <w:semiHidden/>
    <w:rsid w:val="00507B16"/>
    <w:rPr>
      <w:rFonts w:ascii="Arial" w:eastAsia="Calibri" w:hAnsi="Arial" w:cs="Arial"/>
    </w:rPr>
  </w:style>
  <w:style w:type="character" w:customStyle="1" w:styleId="PlainTextChar">
    <w:name w:val="Plain Text Char"/>
    <w:link w:val="PlainText"/>
    <w:uiPriority w:val="99"/>
    <w:semiHidden/>
    <w:rsid w:val="00507B16"/>
    <w:rPr>
      <w:rFonts w:ascii="Arial" w:eastAsia="Calibri" w:hAnsi="Arial" w:cs="Arial"/>
      <w:sz w:val="24"/>
      <w:szCs w:val="24"/>
    </w:rPr>
  </w:style>
  <w:style w:type="paragraph" w:styleId="ListNumber2">
    <w:name w:val="List Number 2"/>
    <w:basedOn w:val="Normal"/>
    <w:uiPriority w:val="99"/>
    <w:semiHidden/>
    <w:unhideWhenUsed/>
    <w:rsid w:val="00941207"/>
    <w:pPr>
      <w:tabs>
        <w:tab w:val="num" w:pos="720"/>
      </w:tabs>
      <w:ind w:left="720" w:hanging="360"/>
      <w:contextualSpacing/>
    </w:pPr>
    <w:rPr>
      <w:sz w:val="22"/>
      <w:lang w:bidi="en-US"/>
    </w:rPr>
  </w:style>
  <w:style w:type="paragraph" w:styleId="TOC2">
    <w:name w:val="toc 2"/>
    <w:basedOn w:val="Normal"/>
    <w:next w:val="Normal"/>
    <w:autoRedefine/>
    <w:uiPriority w:val="39"/>
    <w:unhideWhenUsed/>
    <w:qFormat/>
    <w:rsid w:val="00941207"/>
    <w:pPr>
      <w:spacing w:after="100"/>
      <w:ind w:left="220"/>
    </w:pPr>
    <w:rPr>
      <w:sz w:val="22"/>
      <w:lang w:bidi="en-US"/>
    </w:rPr>
  </w:style>
  <w:style w:type="paragraph" w:styleId="TOC3">
    <w:name w:val="toc 3"/>
    <w:basedOn w:val="Normal"/>
    <w:next w:val="Normal"/>
    <w:autoRedefine/>
    <w:semiHidden/>
    <w:unhideWhenUsed/>
    <w:rsid w:val="00941207"/>
    <w:pPr>
      <w:spacing w:after="100"/>
      <w:ind w:left="440"/>
    </w:pPr>
    <w:rPr>
      <w:sz w:val="22"/>
      <w:lang w:bidi="en-US"/>
    </w:rPr>
  </w:style>
  <w:style w:type="paragraph" w:styleId="TOC7">
    <w:name w:val="toc 7"/>
    <w:basedOn w:val="Normal"/>
    <w:next w:val="Normal"/>
    <w:autoRedefine/>
    <w:uiPriority w:val="39"/>
    <w:semiHidden/>
    <w:unhideWhenUsed/>
    <w:rsid w:val="00941207"/>
    <w:pPr>
      <w:spacing w:after="100"/>
      <w:ind w:left="1440"/>
    </w:pPr>
    <w:rPr>
      <w:sz w:val="22"/>
      <w:lang w:bidi="en-US"/>
    </w:rPr>
  </w:style>
  <w:style w:type="paragraph" w:styleId="ListBullet">
    <w:name w:val="List Bullet"/>
    <w:basedOn w:val="Normal"/>
    <w:uiPriority w:val="99"/>
    <w:semiHidden/>
    <w:unhideWhenUsed/>
    <w:rsid w:val="00941207"/>
    <w:pPr>
      <w:numPr>
        <w:numId w:val="2"/>
      </w:numPr>
      <w:tabs>
        <w:tab w:val="num" w:pos="360"/>
      </w:tabs>
      <w:ind w:left="360"/>
      <w:contextualSpacing/>
    </w:pPr>
    <w:rPr>
      <w:sz w:val="22"/>
      <w:lang w:bidi="en-US"/>
    </w:rPr>
  </w:style>
  <w:style w:type="paragraph" w:styleId="ListBullet3">
    <w:name w:val="List Bullet 3"/>
    <w:basedOn w:val="Normal"/>
    <w:uiPriority w:val="99"/>
    <w:semiHidden/>
    <w:unhideWhenUsed/>
    <w:rsid w:val="00941207"/>
    <w:pPr>
      <w:numPr>
        <w:numId w:val="3"/>
      </w:numPr>
      <w:tabs>
        <w:tab w:val="clear" w:pos="360"/>
        <w:tab w:val="num" w:pos="1080"/>
      </w:tabs>
      <w:ind w:left="1080"/>
      <w:contextualSpacing/>
    </w:pPr>
    <w:rPr>
      <w:sz w:val="22"/>
      <w:lang w:bidi="en-US"/>
    </w:rPr>
  </w:style>
  <w:style w:type="paragraph" w:styleId="Salutation">
    <w:name w:val="Salutation"/>
    <w:basedOn w:val="Normal"/>
    <w:next w:val="Normal"/>
    <w:link w:val="SalutationChar"/>
    <w:uiPriority w:val="99"/>
    <w:semiHidden/>
    <w:unhideWhenUsed/>
    <w:rsid w:val="00941207"/>
    <w:rPr>
      <w:sz w:val="22"/>
      <w:lang w:bidi="en-US"/>
    </w:rPr>
  </w:style>
  <w:style w:type="character" w:customStyle="1" w:styleId="SalutationChar">
    <w:name w:val="Salutation Char"/>
    <w:link w:val="Salutation"/>
    <w:uiPriority w:val="99"/>
    <w:semiHidden/>
    <w:rsid w:val="00941207"/>
    <w:rPr>
      <w:rFonts w:ascii="Times New Roman" w:eastAsia="Times New Roman" w:hAnsi="Times New Roman" w:cs="Times New Roman"/>
      <w:szCs w:val="24"/>
      <w:lang w:bidi="en-US"/>
    </w:rPr>
  </w:style>
  <w:style w:type="paragraph" w:styleId="BodyText2">
    <w:name w:val="Body Text 2"/>
    <w:basedOn w:val="Normal"/>
    <w:link w:val="BodyText2Char"/>
    <w:unhideWhenUsed/>
    <w:rsid w:val="00941207"/>
    <w:pPr>
      <w:spacing w:after="120" w:line="480" w:lineRule="auto"/>
    </w:pPr>
    <w:rPr>
      <w:sz w:val="22"/>
      <w:lang w:bidi="en-US"/>
    </w:rPr>
  </w:style>
  <w:style w:type="character" w:customStyle="1" w:styleId="BodyText2Char">
    <w:name w:val="Body Text 2 Char"/>
    <w:link w:val="BodyText2"/>
    <w:uiPriority w:val="99"/>
    <w:semiHidden/>
    <w:rsid w:val="00941207"/>
    <w:rPr>
      <w:rFonts w:ascii="Times New Roman" w:eastAsia="Times New Roman" w:hAnsi="Times New Roman" w:cs="Times New Roman"/>
      <w:szCs w:val="24"/>
      <w:lang w:bidi="en-US"/>
    </w:rPr>
  </w:style>
  <w:style w:type="paragraph" w:styleId="BodyText3">
    <w:name w:val="Body Text 3"/>
    <w:basedOn w:val="Normal"/>
    <w:link w:val="BodyText3Char"/>
    <w:unhideWhenUsed/>
    <w:rsid w:val="00941207"/>
    <w:pPr>
      <w:spacing w:after="120"/>
    </w:pPr>
    <w:rPr>
      <w:sz w:val="16"/>
      <w:szCs w:val="16"/>
      <w:lang w:bidi="en-US"/>
    </w:rPr>
  </w:style>
  <w:style w:type="character" w:customStyle="1" w:styleId="BodyText3Char">
    <w:name w:val="Body Text 3 Char"/>
    <w:link w:val="BodyText3"/>
    <w:uiPriority w:val="99"/>
    <w:semiHidden/>
    <w:rsid w:val="00941207"/>
    <w:rPr>
      <w:rFonts w:ascii="Times New Roman" w:eastAsia="Times New Roman" w:hAnsi="Times New Roman" w:cs="Times New Roman"/>
      <w:sz w:val="16"/>
      <w:szCs w:val="16"/>
      <w:lang w:bidi="en-US"/>
    </w:rPr>
  </w:style>
  <w:style w:type="paragraph" w:customStyle="1" w:styleId="Style1">
    <w:name w:val="Style1"/>
    <w:basedOn w:val="Normal"/>
    <w:uiPriority w:val="99"/>
    <w:rsid w:val="00941207"/>
    <w:pPr>
      <w:shd w:val="clear" w:color="auto" w:fill="99CCFF"/>
      <w:tabs>
        <w:tab w:val="num" w:pos="360"/>
      </w:tabs>
      <w:ind w:left="360" w:hanging="360"/>
    </w:pPr>
    <w:rPr>
      <w:sz w:val="22"/>
      <w:lang w:bidi="en-US"/>
    </w:rPr>
  </w:style>
  <w:style w:type="character" w:customStyle="1" w:styleId="CharCharCharCharCharCharCharCharCharCharChar">
    <w:name w:val="Char Char Char Char Char Char Char Char Char Char Char"/>
    <w:uiPriority w:val="99"/>
    <w:rsid w:val="00941207"/>
    <w:rPr>
      <w:rFonts w:ascii="Times New Roman" w:hAnsi="Times New Roman" w:cs="Times New Roman"/>
      <w:b/>
      <w:bCs/>
      <w:kern w:val="32"/>
      <w:sz w:val="32"/>
      <w:szCs w:val="32"/>
      <w:lang w:val="en-US" w:eastAsia="en-US"/>
    </w:rPr>
  </w:style>
  <w:style w:type="character" w:customStyle="1" w:styleId="StyleBodyTextItalicCharChar1CharChar">
    <w:name w:val="Style Body Text + Italic Char Char1 Char Char"/>
    <w:uiPriority w:val="99"/>
    <w:rsid w:val="00941207"/>
    <w:rPr>
      <w:rFonts w:cs="Times New Roman"/>
      <w:i/>
      <w:iCs/>
      <w:color w:val="99CCFF"/>
      <w:sz w:val="24"/>
      <w:szCs w:val="24"/>
      <w:lang w:val="en-US" w:eastAsia="en-US"/>
    </w:rPr>
  </w:style>
  <w:style w:type="character" w:customStyle="1" w:styleId="StyleBodyTextItalicCharChar">
    <w:name w:val="Style Body Text + Italic Char Char"/>
    <w:uiPriority w:val="99"/>
    <w:rsid w:val="00941207"/>
    <w:rPr>
      <w:rFonts w:cs="Times New Roman"/>
      <w:i/>
      <w:iCs/>
      <w:color w:val="99CCFF"/>
      <w:sz w:val="24"/>
      <w:szCs w:val="24"/>
      <w:lang w:val="en-US" w:eastAsia="en-US"/>
    </w:rPr>
  </w:style>
  <w:style w:type="paragraph" w:customStyle="1" w:styleId="StyleHeading2TimesNewRoman12ptNotItalic">
    <w:name w:val="Style Heading 2 + Times New Roman 12 pt Not Italic"/>
    <w:basedOn w:val="Heading2"/>
    <w:next w:val="Normal"/>
    <w:uiPriority w:val="99"/>
    <w:rsid w:val="00941207"/>
    <w:rPr>
      <w:kern w:val="32"/>
      <w:szCs w:val="24"/>
    </w:rPr>
  </w:style>
  <w:style w:type="paragraph" w:customStyle="1" w:styleId="StylePatternClearLightYellow">
    <w:name w:val="Style Pattern: Clear (Light Yellow)"/>
    <w:basedOn w:val="Normal"/>
    <w:uiPriority w:val="99"/>
    <w:rsid w:val="00941207"/>
    <w:pPr>
      <w:shd w:val="clear" w:color="auto" w:fill="FFFF99"/>
    </w:pPr>
    <w:rPr>
      <w:sz w:val="22"/>
      <w:lang w:bidi="en-US"/>
    </w:rPr>
  </w:style>
  <w:style w:type="paragraph" w:customStyle="1" w:styleId="navyborder">
    <w:name w:val="navyborder"/>
    <w:basedOn w:val="Normal"/>
    <w:uiPriority w:val="99"/>
    <w:rsid w:val="00941207"/>
    <w:pPr>
      <w:spacing w:before="100" w:beforeAutospacing="1" w:after="100" w:afterAutospacing="1"/>
    </w:pPr>
    <w:rPr>
      <w:color w:val="000000"/>
      <w:sz w:val="20"/>
      <w:szCs w:val="20"/>
      <w:lang w:bidi="en-US"/>
    </w:rPr>
  </w:style>
  <w:style w:type="paragraph" w:customStyle="1" w:styleId="StyleBodyTextItalic">
    <w:name w:val="Style Body Text + Italic"/>
    <w:basedOn w:val="BodyText"/>
    <w:uiPriority w:val="99"/>
    <w:rsid w:val="00941207"/>
    <w:rPr>
      <w:i/>
      <w:iCs/>
      <w:color w:val="99CCFF"/>
      <w:sz w:val="22"/>
      <w:lang w:bidi="en-US"/>
    </w:rPr>
  </w:style>
  <w:style w:type="paragraph" w:customStyle="1" w:styleId="Heading1NotItalic">
    <w:name w:val="Heading 1 + Not Italic"/>
    <w:aliases w:val="Centered,Box: (Single solid line,Auto,0.5 pt Line..."/>
    <w:basedOn w:val="Heading2"/>
    <w:uiPriority w:val="99"/>
    <w:rsid w:val="00941207"/>
    <w:pPr>
      <w:pBdr>
        <w:top w:val="single" w:sz="4" w:space="1" w:color="auto"/>
        <w:left w:val="single" w:sz="4" w:space="4" w:color="auto"/>
        <w:bottom w:val="single" w:sz="4" w:space="1" w:color="auto"/>
        <w:right w:val="single" w:sz="4" w:space="4" w:color="auto"/>
      </w:pBdr>
    </w:pPr>
  </w:style>
  <w:style w:type="paragraph" w:customStyle="1" w:styleId="StyleBodyTextItalicCharChar1">
    <w:name w:val="Style Body Text + Italic Char Char1"/>
    <w:basedOn w:val="BodyText"/>
    <w:uiPriority w:val="99"/>
    <w:rsid w:val="00941207"/>
    <w:rPr>
      <w:i/>
      <w:iCs/>
      <w:color w:val="99CCFF"/>
      <w:sz w:val="22"/>
      <w:lang w:bidi="en-US"/>
    </w:rPr>
  </w:style>
  <w:style w:type="paragraph" w:styleId="Title">
    <w:name w:val="Title"/>
    <w:basedOn w:val="Normal"/>
    <w:next w:val="Normal"/>
    <w:link w:val="TitleChar"/>
    <w:uiPriority w:val="10"/>
    <w:qFormat/>
    <w:rsid w:val="00941207"/>
    <w:pPr>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941207"/>
    <w:rPr>
      <w:rFonts w:ascii="Cambria" w:eastAsia="Times New Roman" w:hAnsi="Cambria" w:cs="Times New Roman"/>
      <w:b/>
      <w:bCs/>
      <w:kern w:val="28"/>
      <w:sz w:val="32"/>
      <w:szCs w:val="32"/>
      <w:lang w:bidi="en-US"/>
    </w:rPr>
  </w:style>
  <w:style w:type="paragraph" w:styleId="Subtitle">
    <w:name w:val="Subtitle"/>
    <w:basedOn w:val="Normal"/>
    <w:next w:val="Normal"/>
    <w:link w:val="SubtitleChar"/>
    <w:uiPriority w:val="11"/>
    <w:qFormat/>
    <w:rsid w:val="00941207"/>
    <w:pPr>
      <w:spacing w:after="60"/>
      <w:jc w:val="center"/>
      <w:outlineLvl w:val="1"/>
    </w:pPr>
    <w:rPr>
      <w:rFonts w:ascii="Cambria" w:hAnsi="Cambria"/>
      <w:sz w:val="22"/>
      <w:lang w:bidi="en-US"/>
    </w:rPr>
  </w:style>
  <w:style w:type="character" w:customStyle="1" w:styleId="SubtitleChar">
    <w:name w:val="Subtitle Char"/>
    <w:link w:val="Subtitle"/>
    <w:uiPriority w:val="11"/>
    <w:rsid w:val="00941207"/>
    <w:rPr>
      <w:rFonts w:ascii="Cambria" w:eastAsia="Times New Roman" w:hAnsi="Cambria" w:cs="Times New Roman"/>
      <w:szCs w:val="24"/>
      <w:lang w:bidi="en-US"/>
    </w:rPr>
  </w:style>
  <w:style w:type="paragraph" w:styleId="NoSpacing">
    <w:name w:val="No Spacing"/>
    <w:basedOn w:val="Normal"/>
    <w:uiPriority w:val="1"/>
    <w:qFormat/>
    <w:rsid w:val="00941207"/>
    <w:rPr>
      <w:sz w:val="22"/>
      <w:szCs w:val="32"/>
      <w:lang w:bidi="en-US"/>
    </w:rPr>
  </w:style>
  <w:style w:type="paragraph" w:styleId="Quote">
    <w:name w:val="Quote"/>
    <w:basedOn w:val="Normal"/>
    <w:next w:val="Normal"/>
    <w:link w:val="QuoteChar"/>
    <w:uiPriority w:val="29"/>
    <w:qFormat/>
    <w:rsid w:val="00941207"/>
    <w:rPr>
      <w:i/>
      <w:sz w:val="22"/>
      <w:lang w:bidi="en-US"/>
    </w:rPr>
  </w:style>
  <w:style w:type="character" w:customStyle="1" w:styleId="QuoteChar">
    <w:name w:val="Quote Char"/>
    <w:link w:val="Quote"/>
    <w:uiPriority w:val="29"/>
    <w:rsid w:val="00941207"/>
    <w:rPr>
      <w:rFonts w:ascii="Times New Roman" w:eastAsia="Times New Roman" w:hAnsi="Times New Roman" w:cs="Times New Roman"/>
      <w:i/>
      <w:szCs w:val="24"/>
      <w:lang w:bidi="en-US"/>
    </w:rPr>
  </w:style>
  <w:style w:type="paragraph" w:styleId="IntenseQuote">
    <w:name w:val="Intense Quote"/>
    <w:basedOn w:val="Normal"/>
    <w:next w:val="Normal"/>
    <w:link w:val="IntenseQuoteChar"/>
    <w:uiPriority w:val="30"/>
    <w:qFormat/>
    <w:rsid w:val="00941207"/>
    <w:pPr>
      <w:ind w:left="720" w:right="720"/>
    </w:pPr>
    <w:rPr>
      <w:b/>
      <w:i/>
      <w:sz w:val="22"/>
      <w:szCs w:val="22"/>
      <w:lang w:bidi="en-US"/>
    </w:rPr>
  </w:style>
  <w:style w:type="character" w:customStyle="1" w:styleId="IntenseQuoteChar">
    <w:name w:val="Intense Quote Char"/>
    <w:link w:val="IntenseQuote"/>
    <w:uiPriority w:val="30"/>
    <w:rsid w:val="00941207"/>
    <w:rPr>
      <w:rFonts w:ascii="Times New Roman" w:eastAsia="Times New Roman" w:hAnsi="Times New Roman" w:cs="Times New Roman"/>
      <w:b/>
      <w:i/>
      <w:lang w:bidi="en-US"/>
    </w:rPr>
  </w:style>
  <w:style w:type="character" w:styleId="SubtleEmphasis">
    <w:name w:val="Subtle Emphasis"/>
    <w:uiPriority w:val="19"/>
    <w:qFormat/>
    <w:rsid w:val="00941207"/>
    <w:rPr>
      <w:i/>
      <w:color w:val="5A5A5A"/>
    </w:rPr>
  </w:style>
  <w:style w:type="character" w:styleId="IntenseEmphasis">
    <w:name w:val="Intense Emphasis"/>
    <w:uiPriority w:val="21"/>
    <w:qFormat/>
    <w:rsid w:val="00941207"/>
    <w:rPr>
      <w:b/>
      <w:i/>
      <w:sz w:val="24"/>
      <w:szCs w:val="24"/>
      <w:u w:val="single"/>
    </w:rPr>
  </w:style>
  <w:style w:type="character" w:styleId="SubtleReference">
    <w:name w:val="Subtle Reference"/>
    <w:uiPriority w:val="31"/>
    <w:qFormat/>
    <w:rsid w:val="00941207"/>
    <w:rPr>
      <w:sz w:val="24"/>
      <w:szCs w:val="24"/>
      <w:u w:val="single"/>
    </w:rPr>
  </w:style>
  <w:style w:type="character" w:styleId="IntenseReference">
    <w:name w:val="Intense Reference"/>
    <w:uiPriority w:val="32"/>
    <w:qFormat/>
    <w:rsid w:val="00941207"/>
    <w:rPr>
      <w:b/>
      <w:sz w:val="24"/>
      <w:u w:val="single"/>
    </w:rPr>
  </w:style>
  <w:style w:type="character" w:styleId="BookTitle">
    <w:name w:val="Book Title"/>
    <w:uiPriority w:val="33"/>
    <w:qFormat/>
    <w:rsid w:val="00941207"/>
    <w:rPr>
      <w:rFonts w:ascii="Cambria" w:eastAsia="Times New Roman" w:hAnsi="Cambria"/>
      <w:b/>
      <w:i/>
      <w:sz w:val="24"/>
      <w:szCs w:val="24"/>
    </w:rPr>
  </w:style>
  <w:style w:type="paragraph" w:customStyle="1" w:styleId="SectionHeader">
    <w:name w:val="Section Header"/>
    <w:basedOn w:val="Heading1"/>
    <w:rsid w:val="00941207"/>
    <w:pPr>
      <w:tabs>
        <w:tab w:val="left" w:leader="underscore" w:pos="8640"/>
      </w:tabs>
      <w:spacing w:before="240"/>
      <w:jc w:val="left"/>
    </w:pPr>
    <w:rPr>
      <w:rFonts w:ascii="Cambria" w:hAnsi="Cambria" w:cs="Times New Roman"/>
      <w:sz w:val="32"/>
      <w:u w:val="single"/>
      <w:lang w:bidi="en-US"/>
    </w:rPr>
  </w:style>
  <w:style w:type="paragraph" w:customStyle="1" w:styleId="UnderlinedHeader">
    <w:name w:val="Underlined Header"/>
    <w:basedOn w:val="SectionHeader"/>
    <w:autoRedefine/>
    <w:qFormat/>
    <w:rsid w:val="00941207"/>
    <w:pPr>
      <w:pageBreakBefore/>
      <w:tabs>
        <w:tab w:val="center" w:pos="8640"/>
      </w:tabs>
      <w:spacing w:before="0" w:after="0"/>
    </w:pPr>
    <w:rPr>
      <w:rFonts w:ascii="Times New Roman" w:hAnsi="Times New Roman"/>
      <w:sz w:val="28"/>
    </w:rPr>
  </w:style>
  <w:style w:type="paragraph" w:customStyle="1" w:styleId="Body1">
    <w:name w:val="Body 1"/>
    <w:rsid w:val="00C93D0F"/>
    <w:pPr>
      <w:spacing w:after="200" w:line="276" w:lineRule="auto"/>
      <w:outlineLvl w:val="0"/>
    </w:pPr>
    <w:rPr>
      <w:rFonts w:ascii="Helvetica" w:eastAsia="Arial Unicode MS" w:hAnsi="Helvetica"/>
      <w:color w:val="000000"/>
      <w:sz w:val="22"/>
      <w:u w:color="000000"/>
    </w:rPr>
  </w:style>
  <w:style w:type="character" w:styleId="CommentReference">
    <w:name w:val="annotation reference"/>
    <w:uiPriority w:val="99"/>
    <w:semiHidden/>
    <w:unhideWhenUsed/>
    <w:rsid w:val="0041240E"/>
    <w:rPr>
      <w:sz w:val="16"/>
      <w:szCs w:val="16"/>
    </w:rPr>
  </w:style>
  <w:style w:type="character" w:customStyle="1" w:styleId="EmailStyle108">
    <w:name w:val="EmailStyle108"/>
    <w:semiHidden/>
    <w:rsid w:val="00C730B2"/>
    <w:rPr>
      <w:rFonts w:ascii="Arial" w:hAnsi="Arial" w:cs="Arial"/>
      <w:color w:val="auto"/>
      <w:sz w:val="20"/>
      <w:szCs w:val="20"/>
    </w:rPr>
  </w:style>
  <w:style w:type="character" w:styleId="FollowedHyperlink">
    <w:name w:val="FollowedHyperlink"/>
    <w:uiPriority w:val="99"/>
    <w:rsid w:val="00D163A5"/>
    <w:rPr>
      <w:color w:val="800080"/>
      <w:u w:val="single"/>
    </w:rPr>
  </w:style>
  <w:style w:type="paragraph" w:customStyle="1" w:styleId="default2">
    <w:name w:val="default2"/>
    <w:basedOn w:val="Normal"/>
    <w:rsid w:val="00D163A5"/>
    <w:pPr>
      <w:autoSpaceDE w:val="0"/>
      <w:autoSpaceDN w:val="0"/>
    </w:pPr>
    <w:rPr>
      <w:color w:val="000000"/>
    </w:rPr>
  </w:style>
  <w:style w:type="character" w:customStyle="1" w:styleId="EmailStyle1111">
    <w:name w:val="EmailStyle1111"/>
    <w:semiHidden/>
    <w:rsid w:val="00D163A5"/>
    <w:rPr>
      <w:rFonts w:ascii="Arial" w:hAnsi="Arial" w:cs="Arial"/>
      <w:color w:val="auto"/>
      <w:sz w:val="20"/>
      <w:szCs w:val="20"/>
    </w:rPr>
  </w:style>
  <w:style w:type="numbering" w:styleId="111111">
    <w:name w:val="Outline List 2"/>
    <w:basedOn w:val="NoList"/>
    <w:rsid w:val="00D163A5"/>
    <w:pPr>
      <w:numPr>
        <w:numId w:val="7"/>
      </w:numPr>
    </w:pPr>
  </w:style>
  <w:style w:type="character" w:customStyle="1" w:styleId="EmailStyle1131">
    <w:name w:val="EmailStyle1131"/>
    <w:semiHidden/>
    <w:rsid w:val="00D163A5"/>
    <w:rPr>
      <w:rFonts w:ascii="Arial" w:hAnsi="Arial" w:cs="Arial"/>
      <w:color w:val="auto"/>
      <w:sz w:val="20"/>
      <w:szCs w:val="20"/>
    </w:rPr>
  </w:style>
  <w:style w:type="paragraph" w:customStyle="1" w:styleId="default1">
    <w:name w:val="default1"/>
    <w:basedOn w:val="Normal"/>
    <w:rsid w:val="00D163A5"/>
    <w:pPr>
      <w:autoSpaceDE w:val="0"/>
      <w:autoSpaceDN w:val="0"/>
    </w:pPr>
    <w:rPr>
      <w:color w:val="000000"/>
    </w:rPr>
  </w:style>
  <w:style w:type="paragraph" w:customStyle="1" w:styleId="ed-reports-keymeasures-table">
    <w:name w:val="ed-reports-keymeasures-table"/>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
    <w:name w:val="footnote"/>
    <w:basedOn w:val="DefaultParagraphFont"/>
    <w:rsid w:val="00D163A5"/>
  </w:style>
  <w:style w:type="character" w:customStyle="1" w:styleId="EmailStyle1171">
    <w:name w:val="EmailStyle1171"/>
    <w:semiHidden/>
    <w:rsid w:val="00D163A5"/>
    <w:rPr>
      <w:rFonts w:ascii="Arial" w:hAnsi="Arial" w:cs="Arial"/>
      <w:color w:val="auto"/>
      <w:sz w:val="20"/>
      <w:szCs w:val="20"/>
    </w:rPr>
  </w:style>
  <w:style w:type="character" w:customStyle="1" w:styleId="EmailStyle1181">
    <w:name w:val="EmailStyle1181"/>
    <w:semiHidden/>
    <w:rsid w:val="00D163A5"/>
    <w:rPr>
      <w:rFonts w:ascii="Arial" w:hAnsi="Arial" w:cs="Arial"/>
      <w:color w:val="auto"/>
      <w:sz w:val="20"/>
      <w:szCs w:val="20"/>
    </w:rPr>
  </w:style>
  <w:style w:type="paragraph" w:customStyle="1" w:styleId="default3">
    <w:name w:val="default3"/>
    <w:basedOn w:val="Normal"/>
    <w:rsid w:val="00D163A5"/>
    <w:pPr>
      <w:autoSpaceDE w:val="0"/>
      <w:autoSpaceDN w:val="0"/>
    </w:pPr>
    <w:rPr>
      <w:color w:val="000000"/>
    </w:rPr>
  </w:style>
  <w:style w:type="paragraph" w:customStyle="1" w:styleId="ed-reports-keymeasures-table1">
    <w:name w:val="ed-reports-keymeasures-table1"/>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1">
    <w:name w:val="footnote1"/>
    <w:basedOn w:val="DefaultParagraphFont"/>
    <w:rsid w:val="00D163A5"/>
  </w:style>
  <w:style w:type="character" w:customStyle="1" w:styleId="EmailStyle1221">
    <w:name w:val="EmailStyle1221"/>
    <w:semiHidden/>
    <w:rsid w:val="00D163A5"/>
    <w:rPr>
      <w:rFonts w:ascii="Arial" w:hAnsi="Arial" w:cs="Arial"/>
      <w:color w:val="auto"/>
      <w:sz w:val="20"/>
      <w:szCs w:val="20"/>
    </w:rPr>
  </w:style>
  <w:style w:type="character" w:customStyle="1" w:styleId="EmailStyle1231">
    <w:name w:val="EmailStyle1231"/>
    <w:semiHidden/>
    <w:rsid w:val="00D163A5"/>
    <w:rPr>
      <w:rFonts w:ascii="Arial" w:hAnsi="Arial" w:cs="Arial"/>
      <w:color w:val="auto"/>
      <w:sz w:val="20"/>
      <w:szCs w:val="20"/>
    </w:rPr>
  </w:style>
  <w:style w:type="paragraph" w:customStyle="1" w:styleId="default4">
    <w:name w:val="default4"/>
    <w:basedOn w:val="Normal"/>
    <w:rsid w:val="00D163A5"/>
    <w:pPr>
      <w:autoSpaceDE w:val="0"/>
      <w:autoSpaceDN w:val="0"/>
    </w:pPr>
    <w:rPr>
      <w:color w:val="000000"/>
    </w:rPr>
  </w:style>
  <w:style w:type="paragraph" w:customStyle="1" w:styleId="ed-reports-keymeasures-table2">
    <w:name w:val="ed-reports-keymeasures-table2"/>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2">
    <w:name w:val="footnote2"/>
    <w:basedOn w:val="DefaultParagraphFont"/>
    <w:rsid w:val="00D163A5"/>
  </w:style>
  <w:style w:type="paragraph" w:customStyle="1" w:styleId="default5">
    <w:name w:val="default5"/>
    <w:basedOn w:val="Normal"/>
    <w:rsid w:val="00D163A5"/>
    <w:pPr>
      <w:autoSpaceDE w:val="0"/>
      <w:autoSpaceDN w:val="0"/>
    </w:pPr>
    <w:rPr>
      <w:color w:val="000000"/>
    </w:rPr>
  </w:style>
  <w:style w:type="paragraph" w:customStyle="1" w:styleId="ed-reports-keymeasures-table3">
    <w:name w:val="ed-reports-keymeasures-table3"/>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efault6">
    <w:name w:val="default6"/>
    <w:basedOn w:val="Normal"/>
    <w:rsid w:val="00D163A5"/>
    <w:pPr>
      <w:autoSpaceDE w:val="0"/>
      <w:autoSpaceDN w:val="0"/>
    </w:pPr>
    <w:rPr>
      <w:color w:val="000000"/>
    </w:rPr>
  </w:style>
  <w:style w:type="paragraph" w:customStyle="1" w:styleId="ed-reports-keymeasures-table4">
    <w:name w:val="ed-reports-keymeasures-table4"/>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efault21">
    <w:name w:val="default21"/>
    <w:basedOn w:val="Normal"/>
    <w:rsid w:val="00D163A5"/>
    <w:pPr>
      <w:autoSpaceDE w:val="0"/>
      <w:autoSpaceDN w:val="0"/>
    </w:pPr>
    <w:rPr>
      <w:color w:val="000000"/>
    </w:rPr>
  </w:style>
  <w:style w:type="paragraph" w:customStyle="1" w:styleId="default11">
    <w:name w:val="default11"/>
    <w:basedOn w:val="Normal"/>
    <w:rsid w:val="00D163A5"/>
    <w:pPr>
      <w:autoSpaceDE w:val="0"/>
      <w:autoSpaceDN w:val="0"/>
    </w:pPr>
    <w:rPr>
      <w:color w:val="000000"/>
    </w:rPr>
  </w:style>
  <w:style w:type="paragraph" w:customStyle="1" w:styleId="default51">
    <w:name w:val="default51"/>
    <w:basedOn w:val="Normal"/>
    <w:rsid w:val="00D163A5"/>
    <w:pPr>
      <w:autoSpaceDE w:val="0"/>
      <w:autoSpaceDN w:val="0"/>
    </w:pPr>
    <w:rPr>
      <w:color w:val="000000"/>
    </w:rPr>
  </w:style>
  <w:style w:type="paragraph" w:customStyle="1" w:styleId="ed-reports-keymeasures-table31">
    <w:name w:val="ed-reports-keymeasures-table31"/>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StyleFootnoteReference10pt">
    <w:name w:val="Style Footnote Reference + 10 pt"/>
    <w:rsid w:val="00D163A5"/>
    <w:rPr>
      <w:rFonts w:ascii="Times New Roman" w:hAnsi="Times New Roman"/>
      <w:sz w:val="22"/>
      <w:szCs w:val="16"/>
    </w:rPr>
  </w:style>
  <w:style w:type="paragraph" w:customStyle="1" w:styleId="StyleHeading110pt">
    <w:name w:val="Style Heading 1 + 10 pt"/>
    <w:basedOn w:val="Heading1"/>
    <w:rsid w:val="00D163A5"/>
    <w:rPr>
      <w:sz w:val="20"/>
    </w:rPr>
  </w:style>
  <w:style w:type="paragraph" w:customStyle="1" w:styleId="NumberTable">
    <w:name w:val="NumberTable"/>
    <w:basedOn w:val="Normal"/>
    <w:rsid w:val="00D163A5"/>
    <w:pPr>
      <w:numPr>
        <w:numId w:val="8"/>
      </w:numPr>
    </w:pPr>
    <w:rPr>
      <w:sz w:val="20"/>
    </w:rPr>
  </w:style>
  <w:style w:type="paragraph" w:customStyle="1" w:styleId="Normal14">
    <w:name w:val="Normal+14"/>
    <w:basedOn w:val="NormalWeb"/>
    <w:rsid w:val="00D163A5"/>
    <w:pPr>
      <w:jc w:val="center"/>
    </w:pPr>
    <w:rPr>
      <w:b/>
      <w:bCs/>
      <w:sz w:val="20"/>
    </w:rPr>
  </w:style>
  <w:style w:type="paragraph" w:customStyle="1" w:styleId="BIBBodyText">
    <w:name w:val="BIB Body Text"/>
    <w:basedOn w:val="NormalWeb"/>
    <w:link w:val="BIBBodyTextChar"/>
    <w:rsid w:val="00D163A5"/>
    <w:pPr>
      <w:spacing w:before="0" w:beforeAutospacing="0" w:after="0" w:afterAutospacing="0"/>
    </w:pPr>
    <w:rPr>
      <w:rFonts w:ascii="Times" w:hAnsi="Times" w:cs="Arial"/>
      <w:kern w:val="20"/>
      <w:sz w:val="22"/>
      <w:szCs w:val="22"/>
    </w:rPr>
  </w:style>
  <w:style w:type="character" w:customStyle="1" w:styleId="BIBBodyTextChar">
    <w:name w:val="BIB Body Text Char"/>
    <w:link w:val="BIBBodyText"/>
    <w:rsid w:val="00D163A5"/>
    <w:rPr>
      <w:rFonts w:ascii="Times" w:eastAsia="Times New Roman" w:hAnsi="Times" w:cs="Arial"/>
      <w:kern w:val="20"/>
    </w:rPr>
  </w:style>
  <w:style w:type="paragraph" w:customStyle="1" w:styleId="StyleFootnote10pt">
    <w:name w:val="Style Footnote + 10pt"/>
    <w:basedOn w:val="Normal"/>
    <w:link w:val="StyleFootnote10ptChar"/>
    <w:rsid w:val="00D163A5"/>
    <w:pPr>
      <w:spacing w:line="200" w:lineRule="exact"/>
      <w:jc w:val="center"/>
    </w:pPr>
    <w:rPr>
      <w:b/>
      <w:bCs/>
      <w:sz w:val="20"/>
    </w:rPr>
  </w:style>
  <w:style w:type="character" w:customStyle="1" w:styleId="StyleFootnote10ptChar">
    <w:name w:val="Style Footnote + 10pt Char"/>
    <w:link w:val="StyleFootnote10pt"/>
    <w:rsid w:val="00D163A5"/>
    <w:rPr>
      <w:rFonts w:ascii="Times New Roman" w:eastAsia="Times New Roman" w:hAnsi="Times New Roman" w:cs="Times New Roman"/>
      <w:b/>
      <w:bCs/>
      <w:sz w:val="20"/>
      <w:szCs w:val="24"/>
    </w:rPr>
  </w:style>
  <w:style w:type="character" w:customStyle="1" w:styleId="explanation">
    <w:name w:val="explanation"/>
    <w:basedOn w:val="DefaultParagraphFont"/>
    <w:rsid w:val="00D163A5"/>
  </w:style>
  <w:style w:type="character" w:customStyle="1" w:styleId="CharChar2">
    <w:name w:val="Char Char2"/>
    <w:rsid w:val="00D163A5"/>
    <w:rPr>
      <w:rFonts w:cs="Arial"/>
      <w:b/>
      <w:bCs/>
      <w:kern w:val="32"/>
      <w:sz w:val="28"/>
      <w:szCs w:val="32"/>
      <w:lang w:val="en-US" w:eastAsia="en-US" w:bidi="ar-SA"/>
    </w:rPr>
  </w:style>
  <w:style w:type="character" w:customStyle="1" w:styleId="CharChar1">
    <w:name w:val="Char Char1"/>
    <w:rsid w:val="00D163A5"/>
    <w:rPr>
      <w:lang w:val="en-US" w:eastAsia="en-US" w:bidi="ar-SA"/>
    </w:rPr>
  </w:style>
  <w:style w:type="character" w:customStyle="1" w:styleId="A11">
    <w:name w:val="A11"/>
    <w:rsid w:val="00D163A5"/>
    <w:rPr>
      <w:rFonts w:cs="Myriad Pro"/>
      <w:color w:val="0066B1"/>
      <w:sz w:val="18"/>
      <w:szCs w:val="18"/>
      <w:u w:val="single"/>
    </w:rPr>
  </w:style>
  <w:style w:type="character" w:styleId="EndnoteReference">
    <w:name w:val="endnote reference"/>
    <w:uiPriority w:val="99"/>
    <w:semiHidden/>
    <w:rsid w:val="00D163A5"/>
    <w:rPr>
      <w:vertAlign w:val="superscript"/>
    </w:rPr>
  </w:style>
  <w:style w:type="character" w:customStyle="1" w:styleId="style11">
    <w:name w:val="style11"/>
    <w:rsid w:val="00D163A5"/>
    <w:rPr>
      <w:b/>
      <w:bCs/>
      <w:color w:val="006600"/>
    </w:rPr>
  </w:style>
  <w:style w:type="paragraph" w:styleId="BodyTextIndent">
    <w:name w:val="Body Text Indent"/>
    <w:basedOn w:val="Normal"/>
    <w:link w:val="BodyTextIndentChar"/>
    <w:rsid w:val="00D163A5"/>
    <w:pPr>
      <w:spacing w:after="120"/>
      <w:ind w:left="360"/>
    </w:pPr>
  </w:style>
  <w:style w:type="character" w:customStyle="1" w:styleId="BodyTextIndentChar">
    <w:name w:val="Body Text Indent Char"/>
    <w:link w:val="BodyTextIndent"/>
    <w:rsid w:val="00D163A5"/>
    <w:rPr>
      <w:rFonts w:ascii="Times New Roman" w:eastAsia="Times New Roman" w:hAnsi="Times New Roman" w:cs="Times New Roman"/>
      <w:sz w:val="24"/>
      <w:szCs w:val="24"/>
    </w:rPr>
  </w:style>
  <w:style w:type="paragraph" w:customStyle="1" w:styleId="hhs-reports-goallinkages-tabledescription">
    <w:name w:val="hhs-reports-goallinkages-tabledescription"/>
    <w:basedOn w:val="Normal"/>
    <w:rsid w:val="00D163A5"/>
  </w:style>
  <w:style w:type="paragraph" w:customStyle="1" w:styleId="hhs-reports-goallinkages-columnheading-12pt-left">
    <w:name w:val="hhs-reports-goallinkages-columnheading-12pt-left"/>
    <w:basedOn w:val="Normal"/>
    <w:rsid w:val="00D163A5"/>
    <w:rPr>
      <w:b/>
      <w:bCs/>
    </w:rPr>
  </w:style>
  <w:style w:type="paragraph" w:customStyle="1" w:styleId="BodyTextIn">
    <w:name w:val="Body Text In"/>
    <w:basedOn w:val="Normal"/>
    <w:rsid w:val="00D163A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pPr>
  </w:style>
  <w:style w:type="character" w:customStyle="1" w:styleId="CharChar3">
    <w:name w:val="Char Char3"/>
    <w:rsid w:val="00D163A5"/>
    <w:rPr>
      <w:lang w:val="en-US" w:eastAsia="en-US" w:bidi="ar-SA"/>
    </w:rPr>
  </w:style>
  <w:style w:type="paragraph" w:customStyle="1" w:styleId="msolistparagraph0">
    <w:name w:val="msolistparagraph"/>
    <w:basedOn w:val="Normal"/>
    <w:rsid w:val="00D163A5"/>
    <w:pPr>
      <w:ind w:left="720"/>
    </w:pPr>
  </w:style>
  <w:style w:type="paragraph" w:customStyle="1" w:styleId="Footnote0">
    <w:name w:val="Footnote"/>
    <w:basedOn w:val="Normal"/>
    <w:link w:val="FootnoteChar"/>
    <w:rsid w:val="00D163A5"/>
    <w:pPr>
      <w:keepLines/>
      <w:pBdr>
        <w:top w:val="single" w:sz="6" w:space="0" w:color="FFFFFF"/>
        <w:left w:val="single" w:sz="6" w:space="0" w:color="FFFFFF"/>
        <w:bottom w:val="single" w:sz="6" w:space="0" w:color="FFFFFF"/>
        <w:right w:val="single" w:sz="6" w:space="0" w:color="FFFFFF"/>
      </w:pBdr>
      <w:tabs>
        <w:tab w:val="right" w:leader="dot" w:pos="4320"/>
      </w:tabs>
      <w:jc w:val="both"/>
    </w:pPr>
  </w:style>
  <w:style w:type="character" w:customStyle="1" w:styleId="FootnoteChar">
    <w:name w:val="Footnote Char"/>
    <w:link w:val="Footnote0"/>
    <w:rsid w:val="00D163A5"/>
    <w:rPr>
      <w:rFonts w:ascii="Times New Roman" w:eastAsia="Times New Roman" w:hAnsi="Times New Roman" w:cs="Times New Roman"/>
      <w:sz w:val="24"/>
      <w:szCs w:val="24"/>
    </w:rPr>
  </w:style>
  <w:style w:type="paragraph" w:customStyle="1" w:styleId="NormalDEBS000002DEBS000001DEBS000014DEBS000014DEBS000016">
    <w:name w:val="Normal_DEBS000002_DEBS000001_DEBS000014_DEBS000014_DEBS000016"/>
    <w:basedOn w:val="Default"/>
    <w:next w:val="Default"/>
    <w:rsid w:val="00D163A5"/>
    <w:rPr>
      <w:color w:val="auto"/>
    </w:rPr>
  </w:style>
  <w:style w:type="character" w:customStyle="1" w:styleId="CharChar7">
    <w:name w:val="Char Char7"/>
    <w:locked/>
    <w:rsid w:val="00D163A5"/>
    <w:rPr>
      <w:rFonts w:cs="Arial"/>
      <w:b/>
      <w:bCs/>
      <w:kern w:val="32"/>
      <w:sz w:val="28"/>
      <w:szCs w:val="32"/>
      <w:lang w:val="en-US" w:eastAsia="en-US" w:bidi="ar-SA"/>
    </w:rPr>
  </w:style>
  <w:style w:type="character" w:customStyle="1" w:styleId="CharChar6">
    <w:name w:val="Char Char6"/>
    <w:semiHidden/>
    <w:locked/>
    <w:rsid w:val="00D163A5"/>
    <w:rPr>
      <w:rFonts w:ascii="Arial" w:hAnsi="Arial" w:cs="Arial"/>
      <w:b/>
      <w:bCs/>
      <w:sz w:val="26"/>
      <w:szCs w:val="26"/>
      <w:lang w:val="en-US" w:eastAsia="en-US" w:bidi="ar-SA"/>
    </w:rPr>
  </w:style>
  <w:style w:type="character" w:customStyle="1" w:styleId="CharChar4">
    <w:name w:val="Char Char4"/>
    <w:locked/>
    <w:rsid w:val="00D163A5"/>
    <w:rPr>
      <w:lang w:val="en-US" w:eastAsia="en-US" w:bidi="ar-SA"/>
    </w:rPr>
  </w:style>
  <w:style w:type="character" w:customStyle="1" w:styleId="CharChar">
    <w:name w:val="Char Char"/>
    <w:locked/>
    <w:rsid w:val="00D163A5"/>
    <w:rPr>
      <w:lang w:val="en-US" w:eastAsia="en-US" w:bidi="ar-SA"/>
    </w:rPr>
  </w:style>
  <w:style w:type="character" w:customStyle="1" w:styleId="CharChar5">
    <w:name w:val="Char Char5"/>
    <w:semiHidden/>
    <w:locked/>
    <w:rsid w:val="00D163A5"/>
    <w:rPr>
      <w:rFonts w:ascii="Tahoma" w:hAnsi="Tahoma" w:cs="Tahoma"/>
      <w:sz w:val="16"/>
      <w:szCs w:val="16"/>
      <w:lang w:val="en-US" w:eastAsia="en-US" w:bidi="ar-SA"/>
    </w:rPr>
  </w:style>
  <w:style w:type="character" w:customStyle="1" w:styleId="EmailStyle1641">
    <w:name w:val="EmailStyle1641"/>
    <w:semiHidden/>
    <w:rsid w:val="00D163A5"/>
    <w:rPr>
      <w:rFonts w:ascii="Arial" w:hAnsi="Arial" w:cs="Arial" w:hint="default"/>
      <w:color w:val="auto"/>
      <w:sz w:val="20"/>
      <w:szCs w:val="20"/>
    </w:rPr>
  </w:style>
  <w:style w:type="character" w:customStyle="1" w:styleId="EmailStyle1651">
    <w:name w:val="EmailStyle1651"/>
    <w:semiHidden/>
    <w:rsid w:val="00D163A5"/>
    <w:rPr>
      <w:rFonts w:ascii="Arial" w:hAnsi="Arial" w:cs="Arial" w:hint="default"/>
      <w:color w:val="auto"/>
      <w:sz w:val="20"/>
      <w:szCs w:val="20"/>
    </w:rPr>
  </w:style>
  <w:style w:type="character" w:customStyle="1" w:styleId="EmailStyle1661">
    <w:name w:val="EmailStyle1661"/>
    <w:semiHidden/>
    <w:rsid w:val="00D163A5"/>
    <w:rPr>
      <w:rFonts w:ascii="Arial" w:hAnsi="Arial" w:cs="Arial" w:hint="default"/>
      <w:color w:val="auto"/>
      <w:sz w:val="20"/>
      <w:szCs w:val="20"/>
    </w:rPr>
  </w:style>
  <w:style w:type="character" w:customStyle="1" w:styleId="EmailStyle1671">
    <w:name w:val="EmailStyle1671"/>
    <w:semiHidden/>
    <w:rsid w:val="00D163A5"/>
    <w:rPr>
      <w:rFonts w:ascii="Arial" w:hAnsi="Arial" w:cs="Arial" w:hint="default"/>
      <w:color w:val="auto"/>
      <w:sz w:val="20"/>
      <w:szCs w:val="20"/>
    </w:rPr>
  </w:style>
  <w:style w:type="character" w:customStyle="1" w:styleId="EmailStyle1681">
    <w:name w:val="EmailStyle1681"/>
    <w:semiHidden/>
    <w:rsid w:val="00D163A5"/>
    <w:rPr>
      <w:rFonts w:ascii="Arial" w:hAnsi="Arial" w:cs="Arial" w:hint="default"/>
      <w:color w:val="auto"/>
      <w:sz w:val="20"/>
      <w:szCs w:val="20"/>
    </w:rPr>
  </w:style>
  <w:style w:type="character" w:customStyle="1" w:styleId="EmailStyle1691">
    <w:name w:val="EmailStyle1691"/>
    <w:semiHidden/>
    <w:rsid w:val="00D163A5"/>
    <w:rPr>
      <w:rFonts w:ascii="Arial" w:hAnsi="Arial" w:cs="Arial" w:hint="default"/>
      <w:color w:val="auto"/>
      <w:sz w:val="20"/>
      <w:szCs w:val="20"/>
    </w:rPr>
  </w:style>
  <w:style w:type="character" w:customStyle="1" w:styleId="EmailStyle1701">
    <w:name w:val="EmailStyle1701"/>
    <w:semiHidden/>
    <w:rsid w:val="00D163A5"/>
    <w:rPr>
      <w:rFonts w:ascii="Arial" w:hAnsi="Arial" w:cs="Arial"/>
      <w:color w:val="000080"/>
      <w:sz w:val="20"/>
      <w:szCs w:val="20"/>
    </w:rPr>
  </w:style>
  <w:style w:type="paragraph" w:customStyle="1" w:styleId="a">
    <w:name w:val="_"/>
    <w:basedOn w:val="Normal"/>
    <w:rsid w:val="00D163A5"/>
    <w:pPr>
      <w:widowControl w:val="0"/>
      <w:autoSpaceDE w:val="0"/>
      <w:autoSpaceDN w:val="0"/>
      <w:adjustRightInd w:val="0"/>
      <w:ind w:left="2160" w:hanging="720"/>
    </w:pPr>
  </w:style>
  <w:style w:type="paragraph" w:customStyle="1" w:styleId="1">
    <w:name w:val="_1"/>
    <w:basedOn w:val="Normal"/>
    <w:rsid w:val="00D163A5"/>
    <w:pPr>
      <w:widowControl w:val="0"/>
      <w:autoSpaceDE w:val="0"/>
      <w:autoSpaceDN w:val="0"/>
      <w:adjustRightInd w:val="0"/>
      <w:ind w:left="720" w:hanging="720"/>
    </w:pPr>
  </w:style>
  <w:style w:type="paragraph" w:customStyle="1" w:styleId="xl64">
    <w:name w:val="xl64"/>
    <w:basedOn w:val="Normal"/>
    <w:rsid w:val="00D163A5"/>
    <w:pPr>
      <w:spacing w:before="100" w:beforeAutospacing="1" w:after="100" w:afterAutospacing="1"/>
      <w:jc w:val="center"/>
    </w:pPr>
  </w:style>
  <w:style w:type="paragraph" w:customStyle="1" w:styleId="xl65">
    <w:name w:val="xl65"/>
    <w:basedOn w:val="Normal"/>
    <w:rsid w:val="00D163A5"/>
    <w:pPr>
      <w:spacing w:before="100" w:beforeAutospacing="1" w:after="100" w:afterAutospacing="1"/>
    </w:pPr>
    <w:rPr>
      <w:rFonts w:ascii="Arial" w:hAnsi="Arial" w:cs="Arial"/>
      <w:b/>
      <w:bCs/>
    </w:rPr>
  </w:style>
  <w:style w:type="paragraph" w:customStyle="1" w:styleId="xl66">
    <w:name w:val="xl66"/>
    <w:basedOn w:val="Normal"/>
    <w:rsid w:val="00D163A5"/>
    <w:pPr>
      <w:spacing w:before="100" w:beforeAutospacing="1" w:after="100" w:afterAutospacing="1"/>
      <w:jc w:val="center"/>
    </w:pPr>
    <w:rPr>
      <w:rFonts w:ascii="Arial" w:hAnsi="Arial" w:cs="Arial"/>
      <w:b/>
      <w:bCs/>
    </w:rPr>
  </w:style>
  <w:style w:type="character" w:customStyle="1" w:styleId="A1">
    <w:name w:val="A1"/>
    <w:uiPriority w:val="99"/>
    <w:rsid w:val="00D163A5"/>
    <w:rPr>
      <w:b/>
      <w:bCs/>
      <w:color w:val="000000"/>
    </w:rPr>
  </w:style>
  <w:style w:type="character" w:customStyle="1" w:styleId="A22">
    <w:name w:val="A22"/>
    <w:uiPriority w:val="99"/>
    <w:rsid w:val="002E119D"/>
    <w:rPr>
      <w:rFonts w:ascii="Adobe Garamond Pro" w:hAnsi="Adobe Garamond Pro" w:hint="default"/>
      <w:color w:val="221E1F"/>
    </w:rPr>
  </w:style>
  <w:style w:type="paragraph" w:styleId="Caption">
    <w:name w:val="caption"/>
    <w:basedOn w:val="Normal"/>
    <w:next w:val="Normal"/>
    <w:uiPriority w:val="35"/>
    <w:semiHidden/>
    <w:unhideWhenUsed/>
    <w:qFormat/>
    <w:rsid w:val="004C723C"/>
    <w:rPr>
      <w:b/>
      <w:bCs/>
      <w:sz w:val="20"/>
      <w:szCs w:val="20"/>
    </w:rPr>
  </w:style>
  <w:style w:type="paragraph" w:customStyle="1" w:styleId="xl58">
    <w:name w:val="xl58"/>
    <w:basedOn w:val="Normal"/>
    <w:rsid w:val="003D5174"/>
    <w:pPr>
      <w:spacing w:before="100" w:beforeAutospacing="1" w:after="100" w:afterAutospacing="1"/>
    </w:pPr>
    <w:rPr>
      <w:rFonts w:ascii="Arial" w:hAnsi="Arial" w:cs="Arial"/>
      <w:sz w:val="20"/>
      <w:szCs w:val="20"/>
      <w:lang w:eastAsia="zh-TW"/>
    </w:rPr>
  </w:style>
  <w:style w:type="paragraph" w:customStyle="1" w:styleId="xl59">
    <w:name w:val="xl59"/>
    <w:basedOn w:val="Normal"/>
    <w:rsid w:val="003D5174"/>
    <w:pPr>
      <w:spacing w:before="100" w:beforeAutospacing="1" w:after="100" w:afterAutospacing="1"/>
      <w:jc w:val="center"/>
    </w:pPr>
    <w:rPr>
      <w:rFonts w:ascii="Arial" w:hAnsi="Arial" w:cs="Arial"/>
      <w:sz w:val="20"/>
      <w:szCs w:val="20"/>
      <w:lang w:eastAsia="zh-TW"/>
    </w:rPr>
  </w:style>
  <w:style w:type="paragraph" w:customStyle="1" w:styleId="xl60">
    <w:name w:val="xl60"/>
    <w:basedOn w:val="Normal"/>
    <w:rsid w:val="003D5174"/>
    <w:pPr>
      <w:spacing w:before="100" w:beforeAutospacing="1" w:after="100" w:afterAutospacing="1"/>
    </w:pPr>
    <w:rPr>
      <w:rFonts w:ascii="Arial" w:hAnsi="Arial" w:cs="Arial"/>
      <w:sz w:val="20"/>
      <w:szCs w:val="20"/>
      <w:lang w:eastAsia="zh-TW"/>
    </w:rPr>
  </w:style>
  <w:style w:type="paragraph" w:customStyle="1" w:styleId="xl61">
    <w:name w:val="xl61"/>
    <w:basedOn w:val="Normal"/>
    <w:rsid w:val="003D5174"/>
    <w:pPr>
      <w:spacing w:before="100" w:beforeAutospacing="1" w:after="100" w:afterAutospacing="1"/>
    </w:pPr>
    <w:rPr>
      <w:rFonts w:ascii="Arial" w:hAnsi="Arial" w:cs="Arial"/>
      <w:sz w:val="20"/>
      <w:szCs w:val="20"/>
      <w:lang w:eastAsia="zh-TW"/>
    </w:rPr>
  </w:style>
  <w:style w:type="paragraph" w:customStyle="1" w:styleId="xl62">
    <w:name w:val="xl62"/>
    <w:basedOn w:val="Normal"/>
    <w:rsid w:val="003D5174"/>
    <w:pPr>
      <w:spacing w:before="100" w:beforeAutospacing="1" w:after="100" w:afterAutospacing="1"/>
    </w:pPr>
    <w:rPr>
      <w:rFonts w:ascii="Arial" w:hAnsi="Arial" w:cs="Arial"/>
      <w:b/>
      <w:bCs/>
      <w:sz w:val="20"/>
      <w:szCs w:val="20"/>
      <w:lang w:eastAsia="zh-TW"/>
    </w:rPr>
  </w:style>
  <w:style w:type="paragraph" w:customStyle="1" w:styleId="xl63">
    <w:name w:val="xl63"/>
    <w:basedOn w:val="Normal"/>
    <w:rsid w:val="003D5174"/>
    <w:pPr>
      <w:spacing w:before="100" w:beforeAutospacing="1" w:after="100" w:afterAutospacing="1"/>
      <w:jc w:val="center"/>
    </w:pPr>
    <w:rPr>
      <w:rFonts w:ascii="Arial" w:hAnsi="Arial" w:cs="Arial"/>
      <w:b/>
      <w:bCs/>
      <w:sz w:val="20"/>
      <w:szCs w:val="20"/>
      <w:lang w:eastAsia="zh-TW"/>
    </w:rPr>
  </w:style>
  <w:style w:type="paragraph" w:styleId="Revision">
    <w:name w:val="Revision"/>
    <w:hidden/>
    <w:uiPriority w:val="99"/>
    <w:semiHidden/>
    <w:rsid w:val="003D1F5B"/>
    <w:rPr>
      <w:rFonts w:ascii="Times New Roman" w:eastAsia="Times New Roman" w:hAnsi="Times New Roman"/>
      <w:sz w:val="24"/>
      <w:szCs w:val="24"/>
    </w:rPr>
  </w:style>
  <w:style w:type="character" w:customStyle="1" w:styleId="tp-label">
    <w:name w:val="tp-label"/>
    <w:rsid w:val="00BB0D78"/>
  </w:style>
  <w:style w:type="numbering" w:customStyle="1" w:styleId="NoList1">
    <w:name w:val="No List1"/>
    <w:next w:val="NoList"/>
    <w:uiPriority w:val="99"/>
    <w:semiHidden/>
    <w:unhideWhenUsed/>
    <w:rsid w:val="006C0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E7"/>
    <w:rPr>
      <w:rFonts w:ascii="Times New Roman" w:eastAsia="Times New Roman" w:hAnsi="Times New Roman"/>
      <w:sz w:val="24"/>
      <w:szCs w:val="24"/>
    </w:rPr>
  </w:style>
  <w:style w:type="paragraph" w:styleId="Heading1">
    <w:name w:val="heading 1"/>
    <w:aliases w:val="Char Char Char Char Char Char Char Char Char"/>
    <w:basedOn w:val="Normal"/>
    <w:next w:val="Normal"/>
    <w:link w:val="Heading1Char"/>
    <w:qFormat/>
    <w:rsid w:val="00E873E7"/>
    <w:pPr>
      <w:keepNext/>
      <w:spacing w:after="60"/>
      <w:jc w:val="center"/>
      <w:outlineLvl w:val="0"/>
    </w:pPr>
    <w:rPr>
      <w:rFonts w:cs="Arial"/>
      <w:b/>
      <w:bCs/>
      <w:kern w:val="32"/>
      <w:sz w:val="28"/>
      <w:szCs w:val="32"/>
    </w:rPr>
  </w:style>
  <w:style w:type="paragraph" w:styleId="Heading2">
    <w:name w:val="heading 2"/>
    <w:basedOn w:val="Normal"/>
    <w:next w:val="Normal"/>
    <w:link w:val="Heading2Char"/>
    <w:autoRedefine/>
    <w:unhideWhenUsed/>
    <w:qFormat/>
    <w:rsid w:val="00EB7718"/>
    <w:pPr>
      <w:keepNext/>
      <w:jc w:val="center"/>
      <w:outlineLvl w:val="1"/>
    </w:pPr>
    <w:rPr>
      <w:b/>
      <w:bCs/>
      <w:iCs/>
      <w:sz w:val="28"/>
      <w:szCs w:val="28"/>
      <w:lang w:bidi="en-US"/>
    </w:rPr>
  </w:style>
  <w:style w:type="paragraph" w:styleId="Heading3">
    <w:name w:val="heading 3"/>
    <w:basedOn w:val="Normal"/>
    <w:next w:val="Normal"/>
    <w:link w:val="Heading3Char"/>
    <w:unhideWhenUsed/>
    <w:qFormat/>
    <w:rsid w:val="00941207"/>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unhideWhenUsed/>
    <w:qFormat/>
    <w:rsid w:val="00941207"/>
    <w:pPr>
      <w:keepNext/>
      <w:spacing w:before="240" w:after="60"/>
      <w:outlineLvl w:val="3"/>
    </w:pPr>
    <w:rPr>
      <w:b/>
      <w:bCs/>
      <w:sz w:val="28"/>
      <w:szCs w:val="28"/>
      <w:lang w:bidi="en-US"/>
    </w:rPr>
  </w:style>
  <w:style w:type="paragraph" w:styleId="Heading5">
    <w:name w:val="heading 5"/>
    <w:basedOn w:val="Normal"/>
    <w:next w:val="Normal"/>
    <w:link w:val="Heading5Char"/>
    <w:unhideWhenUsed/>
    <w:qFormat/>
    <w:rsid w:val="00941207"/>
    <w:pPr>
      <w:spacing w:before="240" w:after="60"/>
      <w:outlineLvl w:val="4"/>
    </w:pPr>
    <w:rPr>
      <w:b/>
      <w:bCs/>
      <w:i/>
      <w:iCs/>
      <w:sz w:val="26"/>
      <w:szCs w:val="26"/>
      <w:lang w:bidi="en-US"/>
    </w:rPr>
  </w:style>
  <w:style w:type="paragraph" w:styleId="Heading6">
    <w:name w:val="heading 6"/>
    <w:basedOn w:val="Normal"/>
    <w:next w:val="Normal"/>
    <w:link w:val="Heading6Char"/>
    <w:unhideWhenUsed/>
    <w:qFormat/>
    <w:rsid w:val="00941207"/>
    <w:pPr>
      <w:spacing w:before="240" w:after="60"/>
      <w:outlineLvl w:val="5"/>
    </w:pPr>
    <w:rPr>
      <w:b/>
      <w:bCs/>
      <w:sz w:val="22"/>
      <w:szCs w:val="22"/>
      <w:lang w:bidi="en-US"/>
    </w:rPr>
  </w:style>
  <w:style w:type="paragraph" w:styleId="Heading7">
    <w:name w:val="heading 7"/>
    <w:basedOn w:val="Normal"/>
    <w:next w:val="Normal"/>
    <w:link w:val="Heading7Char"/>
    <w:unhideWhenUsed/>
    <w:qFormat/>
    <w:rsid w:val="00941207"/>
    <w:pPr>
      <w:spacing w:before="240" w:after="60"/>
      <w:outlineLvl w:val="6"/>
    </w:pPr>
    <w:rPr>
      <w:sz w:val="22"/>
      <w:lang w:bidi="en-US"/>
    </w:rPr>
  </w:style>
  <w:style w:type="paragraph" w:styleId="Heading8">
    <w:name w:val="heading 8"/>
    <w:basedOn w:val="Normal"/>
    <w:next w:val="Normal"/>
    <w:link w:val="Heading8Char"/>
    <w:unhideWhenUsed/>
    <w:qFormat/>
    <w:rsid w:val="00941207"/>
    <w:pPr>
      <w:spacing w:before="240" w:after="60"/>
      <w:outlineLvl w:val="7"/>
    </w:pPr>
    <w:rPr>
      <w:i/>
      <w:iCs/>
      <w:sz w:val="22"/>
      <w:lang w:bidi="en-US"/>
    </w:rPr>
  </w:style>
  <w:style w:type="paragraph" w:styleId="Heading9">
    <w:name w:val="heading 9"/>
    <w:basedOn w:val="Normal"/>
    <w:next w:val="Normal"/>
    <w:link w:val="Heading9Char"/>
    <w:unhideWhenUsed/>
    <w:qFormat/>
    <w:rsid w:val="00941207"/>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Char Char Char Char Char Char"/>
    <w:link w:val="Heading1"/>
    <w:rsid w:val="00E873E7"/>
    <w:rPr>
      <w:rFonts w:ascii="Times New Roman" w:eastAsia="Times New Roman" w:hAnsi="Times New Roman" w:cs="Arial"/>
      <w:b/>
      <w:bCs/>
      <w:kern w:val="32"/>
      <w:sz w:val="28"/>
      <w:szCs w:val="32"/>
    </w:rPr>
  </w:style>
  <w:style w:type="character" w:customStyle="1" w:styleId="Heading2Char">
    <w:name w:val="Heading 2 Char"/>
    <w:link w:val="Heading2"/>
    <w:rsid w:val="00EB7718"/>
    <w:rPr>
      <w:rFonts w:ascii="Times New Roman" w:eastAsia="Times New Roman" w:hAnsi="Times New Roman"/>
      <w:b/>
      <w:bCs/>
      <w:iCs/>
      <w:sz w:val="28"/>
      <w:szCs w:val="28"/>
      <w:lang w:bidi="en-US"/>
    </w:rPr>
  </w:style>
  <w:style w:type="character" w:customStyle="1" w:styleId="Heading3Char">
    <w:name w:val="Heading 3 Char"/>
    <w:link w:val="Heading3"/>
    <w:semiHidden/>
    <w:rsid w:val="00941207"/>
    <w:rPr>
      <w:rFonts w:ascii="Cambria" w:eastAsia="Times New Roman" w:hAnsi="Cambria" w:cs="Times New Roman"/>
      <w:b/>
      <w:bCs/>
      <w:sz w:val="26"/>
      <w:szCs w:val="26"/>
      <w:lang w:bidi="en-US"/>
    </w:rPr>
  </w:style>
  <w:style w:type="character" w:customStyle="1" w:styleId="Heading4Char">
    <w:name w:val="Heading 4 Char"/>
    <w:link w:val="Heading4"/>
    <w:uiPriority w:val="9"/>
    <w:semiHidden/>
    <w:rsid w:val="00941207"/>
    <w:rPr>
      <w:rFonts w:ascii="Times New Roman" w:eastAsia="Times New Roman" w:hAnsi="Times New Roman" w:cs="Times New Roman"/>
      <w:b/>
      <w:bCs/>
      <w:sz w:val="28"/>
      <w:szCs w:val="28"/>
      <w:lang w:bidi="en-US"/>
    </w:rPr>
  </w:style>
  <w:style w:type="character" w:customStyle="1" w:styleId="Heading5Char">
    <w:name w:val="Heading 5 Char"/>
    <w:link w:val="Heading5"/>
    <w:uiPriority w:val="9"/>
    <w:semiHidden/>
    <w:rsid w:val="00941207"/>
    <w:rPr>
      <w:rFonts w:ascii="Times New Roman" w:eastAsia="Times New Roman" w:hAnsi="Times New Roman" w:cs="Times New Roman"/>
      <w:b/>
      <w:bCs/>
      <w:i/>
      <w:iCs/>
      <w:sz w:val="26"/>
      <w:szCs w:val="26"/>
      <w:lang w:bidi="en-US"/>
    </w:rPr>
  </w:style>
  <w:style w:type="character" w:customStyle="1" w:styleId="Heading6Char">
    <w:name w:val="Heading 6 Char"/>
    <w:link w:val="Heading6"/>
    <w:uiPriority w:val="9"/>
    <w:semiHidden/>
    <w:rsid w:val="00941207"/>
    <w:rPr>
      <w:rFonts w:ascii="Times New Roman" w:eastAsia="Times New Roman" w:hAnsi="Times New Roman" w:cs="Times New Roman"/>
      <w:b/>
      <w:bCs/>
      <w:lang w:bidi="en-US"/>
    </w:rPr>
  </w:style>
  <w:style w:type="character" w:customStyle="1" w:styleId="Heading7Char">
    <w:name w:val="Heading 7 Char"/>
    <w:link w:val="Heading7"/>
    <w:uiPriority w:val="9"/>
    <w:semiHidden/>
    <w:rsid w:val="00941207"/>
    <w:rPr>
      <w:rFonts w:ascii="Times New Roman" w:eastAsia="Times New Roman" w:hAnsi="Times New Roman" w:cs="Times New Roman"/>
      <w:szCs w:val="24"/>
      <w:lang w:bidi="en-US"/>
    </w:rPr>
  </w:style>
  <w:style w:type="character" w:customStyle="1" w:styleId="Heading8Char">
    <w:name w:val="Heading 8 Char"/>
    <w:link w:val="Heading8"/>
    <w:uiPriority w:val="9"/>
    <w:semiHidden/>
    <w:rsid w:val="00941207"/>
    <w:rPr>
      <w:rFonts w:ascii="Times New Roman" w:eastAsia="Times New Roman" w:hAnsi="Times New Roman" w:cs="Times New Roman"/>
      <w:i/>
      <w:iCs/>
      <w:szCs w:val="24"/>
      <w:lang w:bidi="en-US"/>
    </w:rPr>
  </w:style>
  <w:style w:type="character" w:customStyle="1" w:styleId="Heading9Char">
    <w:name w:val="Heading 9 Char"/>
    <w:link w:val="Heading9"/>
    <w:uiPriority w:val="9"/>
    <w:semiHidden/>
    <w:rsid w:val="00941207"/>
    <w:rPr>
      <w:rFonts w:ascii="Cambria" w:eastAsia="Times New Roman" w:hAnsi="Cambria" w:cs="Times New Roman"/>
      <w:lang w:bidi="en-US"/>
    </w:rPr>
  </w:style>
  <w:style w:type="paragraph" w:styleId="Footer">
    <w:name w:val="footer"/>
    <w:basedOn w:val="Normal"/>
    <w:link w:val="FooterChar"/>
    <w:uiPriority w:val="99"/>
    <w:rsid w:val="00E873E7"/>
    <w:pPr>
      <w:tabs>
        <w:tab w:val="center" w:pos="4320"/>
        <w:tab w:val="right" w:pos="8640"/>
      </w:tabs>
    </w:pPr>
    <w:rPr>
      <w:szCs w:val="20"/>
    </w:rPr>
  </w:style>
  <w:style w:type="character" w:customStyle="1" w:styleId="FooterChar">
    <w:name w:val="Footer Char"/>
    <w:link w:val="Footer"/>
    <w:uiPriority w:val="99"/>
    <w:rsid w:val="00E873E7"/>
    <w:rPr>
      <w:rFonts w:ascii="Times New Roman" w:eastAsia="Times New Roman" w:hAnsi="Times New Roman" w:cs="Times New Roman"/>
      <w:sz w:val="24"/>
      <w:szCs w:val="20"/>
    </w:rPr>
  </w:style>
  <w:style w:type="character" w:styleId="PageNumber">
    <w:name w:val="page number"/>
    <w:basedOn w:val="DefaultParagraphFont"/>
    <w:rsid w:val="00E873E7"/>
  </w:style>
  <w:style w:type="paragraph" w:styleId="Header">
    <w:name w:val="header"/>
    <w:basedOn w:val="Normal"/>
    <w:link w:val="HeaderChar"/>
    <w:uiPriority w:val="99"/>
    <w:rsid w:val="00E873E7"/>
    <w:pPr>
      <w:tabs>
        <w:tab w:val="center" w:pos="4320"/>
        <w:tab w:val="right" w:pos="8640"/>
      </w:tabs>
    </w:pPr>
    <w:rPr>
      <w:szCs w:val="20"/>
    </w:rPr>
  </w:style>
  <w:style w:type="character" w:customStyle="1" w:styleId="HeaderChar">
    <w:name w:val="Header Char"/>
    <w:link w:val="Header"/>
    <w:uiPriority w:val="99"/>
    <w:rsid w:val="00E873E7"/>
    <w:rPr>
      <w:rFonts w:ascii="Times New Roman" w:eastAsia="Times New Roman" w:hAnsi="Times New Roman" w:cs="Times New Roman"/>
      <w:sz w:val="24"/>
      <w:szCs w:val="20"/>
    </w:rPr>
  </w:style>
  <w:style w:type="paragraph" w:styleId="BalloonText">
    <w:name w:val="Balloon Text"/>
    <w:basedOn w:val="Normal"/>
    <w:link w:val="BalloonTextChar"/>
    <w:unhideWhenUsed/>
    <w:rsid w:val="00E873E7"/>
    <w:rPr>
      <w:rFonts w:ascii="Tahoma" w:hAnsi="Tahoma" w:cs="Tahoma"/>
      <w:sz w:val="16"/>
      <w:szCs w:val="16"/>
    </w:rPr>
  </w:style>
  <w:style w:type="character" w:customStyle="1" w:styleId="BalloonTextChar">
    <w:name w:val="Balloon Text Char"/>
    <w:link w:val="BalloonText"/>
    <w:rsid w:val="00E873E7"/>
    <w:rPr>
      <w:rFonts w:ascii="Tahoma" w:eastAsia="Times New Roman" w:hAnsi="Tahoma" w:cs="Tahoma"/>
      <w:sz w:val="16"/>
      <w:szCs w:val="16"/>
    </w:rPr>
  </w:style>
  <w:style w:type="paragraph" w:styleId="BodyText">
    <w:name w:val="Body Text"/>
    <w:basedOn w:val="Normal"/>
    <w:link w:val="BodyTextChar"/>
    <w:rsid w:val="00E873E7"/>
    <w:pPr>
      <w:jc w:val="both"/>
    </w:pPr>
  </w:style>
  <w:style w:type="character" w:customStyle="1" w:styleId="BodyTextChar">
    <w:name w:val="Body Text Char"/>
    <w:link w:val="BodyText"/>
    <w:rsid w:val="00E873E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873E7"/>
    <w:rPr>
      <w:sz w:val="20"/>
      <w:szCs w:val="20"/>
    </w:rPr>
  </w:style>
  <w:style w:type="character" w:customStyle="1" w:styleId="FootnoteTextChar">
    <w:name w:val="Footnote Text Char"/>
    <w:link w:val="FootnoteText"/>
    <w:uiPriority w:val="99"/>
    <w:rsid w:val="00E873E7"/>
    <w:rPr>
      <w:rFonts w:ascii="Times New Roman" w:eastAsia="Times New Roman" w:hAnsi="Times New Roman" w:cs="Times New Roman"/>
      <w:sz w:val="20"/>
      <w:szCs w:val="20"/>
    </w:rPr>
  </w:style>
  <w:style w:type="character" w:styleId="FootnoteReference">
    <w:name w:val="footnote reference"/>
    <w:uiPriority w:val="99"/>
    <w:semiHidden/>
    <w:unhideWhenUsed/>
    <w:rsid w:val="00E873E7"/>
    <w:rPr>
      <w:vertAlign w:val="superscript"/>
    </w:rPr>
  </w:style>
  <w:style w:type="paragraph" w:styleId="EndnoteText">
    <w:name w:val="endnote text"/>
    <w:basedOn w:val="Normal"/>
    <w:link w:val="EndnoteTextChar"/>
    <w:rsid w:val="00E873E7"/>
    <w:rPr>
      <w:sz w:val="20"/>
      <w:szCs w:val="20"/>
    </w:rPr>
  </w:style>
  <w:style w:type="character" w:customStyle="1" w:styleId="EndnoteTextChar">
    <w:name w:val="Endnote Text Char"/>
    <w:link w:val="EndnoteText"/>
    <w:rsid w:val="00E873E7"/>
    <w:rPr>
      <w:rFonts w:ascii="Times New Roman" w:eastAsia="Times New Roman" w:hAnsi="Times New Roman" w:cs="Times New Roman"/>
      <w:sz w:val="20"/>
      <w:szCs w:val="20"/>
    </w:rPr>
  </w:style>
  <w:style w:type="paragraph" w:customStyle="1" w:styleId="TOCHeader">
    <w:name w:val="TOC Header"/>
    <w:basedOn w:val="Normal"/>
    <w:link w:val="TOCHeaderChar"/>
    <w:rsid w:val="00E873E7"/>
    <w:pPr>
      <w:tabs>
        <w:tab w:val="left" w:pos="2685"/>
      </w:tabs>
    </w:pPr>
    <w:rPr>
      <w:b/>
    </w:rPr>
  </w:style>
  <w:style w:type="character" w:customStyle="1" w:styleId="TOCHeaderChar">
    <w:name w:val="TOC Header Char"/>
    <w:link w:val="TOCHeader"/>
    <w:locked/>
    <w:rsid w:val="00E873E7"/>
    <w:rPr>
      <w:rFonts w:ascii="Times New Roman" w:eastAsia="Times New Roman" w:hAnsi="Times New Roman" w:cs="Times New Roman"/>
      <w:b/>
      <w:sz w:val="24"/>
      <w:szCs w:val="24"/>
    </w:rPr>
  </w:style>
  <w:style w:type="paragraph" w:styleId="ListParagraph">
    <w:name w:val="List Paragraph"/>
    <w:basedOn w:val="Normal"/>
    <w:uiPriority w:val="34"/>
    <w:qFormat/>
    <w:rsid w:val="00E873E7"/>
    <w:pPr>
      <w:ind w:left="720"/>
      <w:contextualSpacing/>
    </w:pPr>
  </w:style>
  <w:style w:type="character" w:styleId="Emphasis">
    <w:name w:val="Emphasis"/>
    <w:uiPriority w:val="20"/>
    <w:qFormat/>
    <w:rsid w:val="00E873E7"/>
    <w:rPr>
      <w:i/>
      <w:iCs/>
    </w:rPr>
  </w:style>
  <w:style w:type="character" w:styleId="Strong">
    <w:name w:val="Strong"/>
    <w:uiPriority w:val="22"/>
    <w:qFormat/>
    <w:rsid w:val="00E873E7"/>
    <w:rPr>
      <w:b/>
      <w:bCs/>
    </w:rPr>
  </w:style>
  <w:style w:type="table" w:styleId="TableGrid">
    <w:name w:val="Table Grid"/>
    <w:basedOn w:val="TableNormal"/>
    <w:rsid w:val="00E873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73E7"/>
    <w:rPr>
      <w:rFonts w:cs="Times New Roman"/>
      <w:color w:val="0000FF"/>
      <w:u w:val="single"/>
    </w:rPr>
  </w:style>
  <w:style w:type="paragraph" w:styleId="NormalWeb">
    <w:name w:val="Normal (Web)"/>
    <w:basedOn w:val="Normal"/>
    <w:uiPriority w:val="99"/>
    <w:rsid w:val="00E873E7"/>
    <w:pPr>
      <w:spacing w:before="100" w:beforeAutospacing="1" w:after="100" w:afterAutospacing="1"/>
    </w:pPr>
  </w:style>
  <w:style w:type="paragraph" w:customStyle="1" w:styleId="NormalJustified">
    <w:name w:val="Normal + Justified"/>
    <w:basedOn w:val="Normal"/>
    <w:link w:val="NormalJustifiedChar"/>
    <w:rsid w:val="00E873E7"/>
    <w:pPr>
      <w:jc w:val="both"/>
    </w:pPr>
  </w:style>
  <w:style w:type="character" w:customStyle="1" w:styleId="NormalJustifiedChar">
    <w:name w:val="Normal + Justified Char"/>
    <w:link w:val="NormalJustified"/>
    <w:rsid w:val="00E873E7"/>
    <w:rPr>
      <w:rFonts w:ascii="Times New Roman" w:eastAsia="Times New Roman" w:hAnsi="Times New Roman" w:cs="Times New Roman"/>
      <w:sz w:val="24"/>
      <w:szCs w:val="24"/>
    </w:rPr>
  </w:style>
  <w:style w:type="paragraph" w:customStyle="1" w:styleId="Default">
    <w:name w:val="Default"/>
    <w:rsid w:val="00E873E7"/>
    <w:pPr>
      <w:autoSpaceDE w:val="0"/>
      <w:autoSpaceDN w:val="0"/>
      <w:adjustRightInd w:val="0"/>
    </w:pPr>
    <w:rPr>
      <w:rFonts w:ascii="Times New Roman" w:eastAsia="Times New Roman" w:hAnsi="Times New Roman"/>
      <w:color w:val="000000"/>
      <w:sz w:val="24"/>
      <w:szCs w:val="24"/>
    </w:rPr>
  </w:style>
  <w:style w:type="paragraph" w:customStyle="1" w:styleId="normaldebs000030DEBS000014DEBS000014DEBS000016">
    <w:name w:val="normaldebs000030_DEBS000014_DEBS000014_DEBS000016"/>
    <w:basedOn w:val="Default"/>
    <w:next w:val="Default"/>
    <w:rsid w:val="00E873E7"/>
    <w:rPr>
      <w:color w:val="auto"/>
    </w:rPr>
  </w:style>
  <w:style w:type="paragraph" w:customStyle="1" w:styleId="NormalTimes">
    <w:name w:val="Normal + Times"/>
    <w:aliases w:val="Justified"/>
    <w:basedOn w:val="Normal"/>
    <w:rsid w:val="00E873E7"/>
    <w:pPr>
      <w:keepNext/>
      <w:keepLines/>
      <w:jc w:val="both"/>
    </w:pPr>
    <w:rPr>
      <w:rFonts w:ascii="Times" w:hAnsi="Times"/>
      <w:spacing w:val="-4"/>
    </w:rPr>
  </w:style>
  <w:style w:type="paragraph" w:customStyle="1" w:styleId="Level1">
    <w:name w:val="Level 1"/>
    <w:basedOn w:val="Normal"/>
    <w:rsid w:val="00E873E7"/>
    <w:pPr>
      <w:widowControl w:val="0"/>
      <w:autoSpaceDE w:val="0"/>
      <w:autoSpaceDN w:val="0"/>
      <w:adjustRightInd w:val="0"/>
      <w:ind w:left="360" w:hanging="360"/>
    </w:pPr>
  </w:style>
  <w:style w:type="paragraph" w:customStyle="1" w:styleId="OmniPage4">
    <w:name w:val="OmniPage #4"/>
    <w:basedOn w:val="Normal"/>
    <w:rsid w:val="00E873E7"/>
    <w:pPr>
      <w:spacing w:line="280" w:lineRule="exact"/>
    </w:pPr>
    <w:rPr>
      <w:sz w:val="20"/>
      <w:szCs w:val="20"/>
    </w:rPr>
  </w:style>
  <w:style w:type="paragraph" w:styleId="ListBullet2">
    <w:name w:val="List Bullet 2"/>
    <w:basedOn w:val="Normal"/>
    <w:rsid w:val="00E873E7"/>
    <w:pPr>
      <w:numPr>
        <w:numId w:val="1"/>
      </w:numPr>
    </w:pPr>
  </w:style>
  <w:style w:type="character" w:customStyle="1" w:styleId="CommentTextChar">
    <w:name w:val="Comment Text Char"/>
    <w:link w:val="CommentText"/>
    <w:uiPriority w:val="99"/>
    <w:rsid w:val="00E873E7"/>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873E7"/>
    <w:rPr>
      <w:sz w:val="20"/>
      <w:szCs w:val="20"/>
    </w:rPr>
  </w:style>
  <w:style w:type="character" w:customStyle="1" w:styleId="CommentSubjectChar">
    <w:name w:val="Comment Subject Char"/>
    <w:link w:val="CommentSubject"/>
    <w:uiPriority w:val="99"/>
    <w:semiHidden/>
    <w:rsid w:val="00E873E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E873E7"/>
    <w:rPr>
      <w:b/>
      <w:bCs/>
    </w:rPr>
  </w:style>
  <w:style w:type="character" w:customStyle="1" w:styleId="apple-style-span">
    <w:name w:val="apple-style-span"/>
    <w:basedOn w:val="DefaultParagraphFont"/>
    <w:rsid w:val="00E873E7"/>
  </w:style>
  <w:style w:type="character" w:customStyle="1" w:styleId="apple-converted-space">
    <w:name w:val="apple-converted-space"/>
    <w:basedOn w:val="DefaultParagraphFont"/>
    <w:rsid w:val="00E873E7"/>
  </w:style>
  <w:style w:type="paragraph" w:customStyle="1" w:styleId="xmsonormal">
    <w:name w:val="x_msonormal"/>
    <w:basedOn w:val="Normal"/>
    <w:rsid w:val="00E873E7"/>
    <w:pPr>
      <w:spacing w:before="100" w:beforeAutospacing="1" w:after="100" w:afterAutospacing="1"/>
    </w:pPr>
  </w:style>
  <w:style w:type="paragraph" w:customStyle="1" w:styleId="default0">
    <w:name w:val="default"/>
    <w:basedOn w:val="Normal"/>
    <w:uiPriority w:val="99"/>
    <w:rsid w:val="00E873E7"/>
    <w:pPr>
      <w:spacing w:before="100" w:beforeAutospacing="1" w:after="100" w:afterAutospacing="1"/>
    </w:pPr>
  </w:style>
  <w:style w:type="paragraph" w:styleId="TOCHeading">
    <w:name w:val="TOC Heading"/>
    <w:basedOn w:val="Heading1"/>
    <w:next w:val="Normal"/>
    <w:uiPriority w:val="39"/>
    <w:unhideWhenUsed/>
    <w:qFormat/>
    <w:rsid w:val="00E873E7"/>
    <w:pPr>
      <w:keepLines/>
      <w:spacing w:before="480" w:after="0" w:line="276" w:lineRule="auto"/>
      <w:jc w:val="left"/>
      <w:outlineLvl w:val="9"/>
    </w:pPr>
    <w:rPr>
      <w:rFonts w:ascii="Cambria" w:hAnsi="Cambria" w:cs="Times New Roman"/>
      <w:color w:val="365F91"/>
      <w:kern w:val="0"/>
      <w:szCs w:val="28"/>
    </w:rPr>
  </w:style>
  <w:style w:type="paragraph" w:styleId="TOC1">
    <w:name w:val="toc 1"/>
    <w:basedOn w:val="Normal"/>
    <w:next w:val="Normal"/>
    <w:autoRedefine/>
    <w:uiPriority w:val="39"/>
    <w:unhideWhenUsed/>
    <w:qFormat/>
    <w:rsid w:val="00E873E7"/>
    <w:pPr>
      <w:tabs>
        <w:tab w:val="left" w:pos="720"/>
        <w:tab w:val="right" w:leader="dot" w:pos="9350"/>
      </w:tabs>
    </w:pPr>
    <w:rPr>
      <w:b/>
      <w:noProof/>
    </w:rPr>
  </w:style>
  <w:style w:type="character" w:customStyle="1" w:styleId="DocumentMapChar">
    <w:name w:val="Document Map Char"/>
    <w:link w:val="DocumentMap"/>
    <w:rsid w:val="00E873E7"/>
    <w:rPr>
      <w:rFonts w:ascii="Tahoma" w:eastAsia="Times New Roman" w:hAnsi="Tahoma" w:cs="Tahoma"/>
      <w:sz w:val="16"/>
      <w:szCs w:val="16"/>
    </w:rPr>
  </w:style>
  <w:style w:type="paragraph" w:styleId="DocumentMap">
    <w:name w:val="Document Map"/>
    <w:basedOn w:val="Normal"/>
    <w:link w:val="DocumentMapChar"/>
    <w:unhideWhenUsed/>
    <w:rsid w:val="00E873E7"/>
    <w:rPr>
      <w:rFonts w:ascii="Tahoma" w:hAnsi="Tahoma" w:cs="Tahoma"/>
      <w:sz w:val="16"/>
      <w:szCs w:val="16"/>
    </w:rPr>
  </w:style>
  <w:style w:type="paragraph" w:styleId="PlainText">
    <w:name w:val="Plain Text"/>
    <w:basedOn w:val="Normal"/>
    <w:link w:val="PlainTextChar"/>
    <w:uiPriority w:val="99"/>
    <w:semiHidden/>
    <w:rsid w:val="00507B16"/>
    <w:rPr>
      <w:rFonts w:ascii="Arial" w:eastAsia="Calibri" w:hAnsi="Arial" w:cs="Arial"/>
    </w:rPr>
  </w:style>
  <w:style w:type="character" w:customStyle="1" w:styleId="PlainTextChar">
    <w:name w:val="Plain Text Char"/>
    <w:link w:val="PlainText"/>
    <w:uiPriority w:val="99"/>
    <w:semiHidden/>
    <w:rsid w:val="00507B16"/>
    <w:rPr>
      <w:rFonts w:ascii="Arial" w:eastAsia="Calibri" w:hAnsi="Arial" w:cs="Arial"/>
      <w:sz w:val="24"/>
      <w:szCs w:val="24"/>
    </w:rPr>
  </w:style>
  <w:style w:type="paragraph" w:styleId="ListNumber2">
    <w:name w:val="List Number 2"/>
    <w:basedOn w:val="Normal"/>
    <w:uiPriority w:val="99"/>
    <w:semiHidden/>
    <w:unhideWhenUsed/>
    <w:rsid w:val="00941207"/>
    <w:pPr>
      <w:tabs>
        <w:tab w:val="num" w:pos="720"/>
      </w:tabs>
      <w:ind w:left="720" w:hanging="360"/>
      <w:contextualSpacing/>
    </w:pPr>
    <w:rPr>
      <w:sz w:val="22"/>
      <w:lang w:bidi="en-US"/>
    </w:rPr>
  </w:style>
  <w:style w:type="paragraph" w:styleId="TOC2">
    <w:name w:val="toc 2"/>
    <w:basedOn w:val="Normal"/>
    <w:next w:val="Normal"/>
    <w:autoRedefine/>
    <w:uiPriority w:val="39"/>
    <w:unhideWhenUsed/>
    <w:qFormat/>
    <w:rsid w:val="00941207"/>
    <w:pPr>
      <w:spacing w:after="100"/>
      <w:ind w:left="220"/>
    </w:pPr>
    <w:rPr>
      <w:sz w:val="22"/>
      <w:lang w:bidi="en-US"/>
    </w:rPr>
  </w:style>
  <w:style w:type="paragraph" w:styleId="TOC3">
    <w:name w:val="toc 3"/>
    <w:basedOn w:val="Normal"/>
    <w:next w:val="Normal"/>
    <w:autoRedefine/>
    <w:semiHidden/>
    <w:unhideWhenUsed/>
    <w:rsid w:val="00941207"/>
    <w:pPr>
      <w:spacing w:after="100"/>
      <w:ind w:left="440"/>
    </w:pPr>
    <w:rPr>
      <w:sz w:val="22"/>
      <w:lang w:bidi="en-US"/>
    </w:rPr>
  </w:style>
  <w:style w:type="paragraph" w:styleId="TOC7">
    <w:name w:val="toc 7"/>
    <w:basedOn w:val="Normal"/>
    <w:next w:val="Normal"/>
    <w:autoRedefine/>
    <w:uiPriority w:val="39"/>
    <w:semiHidden/>
    <w:unhideWhenUsed/>
    <w:rsid w:val="00941207"/>
    <w:pPr>
      <w:spacing w:after="100"/>
      <w:ind w:left="1440"/>
    </w:pPr>
    <w:rPr>
      <w:sz w:val="22"/>
      <w:lang w:bidi="en-US"/>
    </w:rPr>
  </w:style>
  <w:style w:type="paragraph" w:styleId="ListBullet">
    <w:name w:val="List Bullet"/>
    <w:basedOn w:val="Normal"/>
    <w:uiPriority w:val="99"/>
    <w:semiHidden/>
    <w:unhideWhenUsed/>
    <w:rsid w:val="00941207"/>
    <w:pPr>
      <w:numPr>
        <w:numId w:val="2"/>
      </w:numPr>
      <w:tabs>
        <w:tab w:val="num" w:pos="360"/>
      </w:tabs>
      <w:ind w:left="360"/>
      <w:contextualSpacing/>
    </w:pPr>
    <w:rPr>
      <w:sz w:val="22"/>
      <w:lang w:bidi="en-US"/>
    </w:rPr>
  </w:style>
  <w:style w:type="paragraph" w:styleId="ListBullet3">
    <w:name w:val="List Bullet 3"/>
    <w:basedOn w:val="Normal"/>
    <w:uiPriority w:val="99"/>
    <w:semiHidden/>
    <w:unhideWhenUsed/>
    <w:rsid w:val="00941207"/>
    <w:pPr>
      <w:numPr>
        <w:numId w:val="3"/>
      </w:numPr>
      <w:tabs>
        <w:tab w:val="clear" w:pos="360"/>
        <w:tab w:val="num" w:pos="1080"/>
      </w:tabs>
      <w:ind w:left="1080"/>
      <w:contextualSpacing/>
    </w:pPr>
    <w:rPr>
      <w:sz w:val="22"/>
      <w:lang w:bidi="en-US"/>
    </w:rPr>
  </w:style>
  <w:style w:type="paragraph" w:styleId="Salutation">
    <w:name w:val="Salutation"/>
    <w:basedOn w:val="Normal"/>
    <w:next w:val="Normal"/>
    <w:link w:val="SalutationChar"/>
    <w:uiPriority w:val="99"/>
    <w:semiHidden/>
    <w:unhideWhenUsed/>
    <w:rsid w:val="00941207"/>
    <w:rPr>
      <w:sz w:val="22"/>
      <w:lang w:bidi="en-US"/>
    </w:rPr>
  </w:style>
  <w:style w:type="character" w:customStyle="1" w:styleId="SalutationChar">
    <w:name w:val="Salutation Char"/>
    <w:link w:val="Salutation"/>
    <w:uiPriority w:val="99"/>
    <w:semiHidden/>
    <w:rsid w:val="00941207"/>
    <w:rPr>
      <w:rFonts w:ascii="Times New Roman" w:eastAsia="Times New Roman" w:hAnsi="Times New Roman" w:cs="Times New Roman"/>
      <w:szCs w:val="24"/>
      <w:lang w:bidi="en-US"/>
    </w:rPr>
  </w:style>
  <w:style w:type="paragraph" w:styleId="BodyText2">
    <w:name w:val="Body Text 2"/>
    <w:basedOn w:val="Normal"/>
    <w:link w:val="BodyText2Char"/>
    <w:unhideWhenUsed/>
    <w:rsid w:val="00941207"/>
    <w:pPr>
      <w:spacing w:after="120" w:line="480" w:lineRule="auto"/>
    </w:pPr>
    <w:rPr>
      <w:sz w:val="22"/>
      <w:lang w:bidi="en-US"/>
    </w:rPr>
  </w:style>
  <w:style w:type="character" w:customStyle="1" w:styleId="BodyText2Char">
    <w:name w:val="Body Text 2 Char"/>
    <w:link w:val="BodyText2"/>
    <w:uiPriority w:val="99"/>
    <w:semiHidden/>
    <w:rsid w:val="00941207"/>
    <w:rPr>
      <w:rFonts w:ascii="Times New Roman" w:eastAsia="Times New Roman" w:hAnsi="Times New Roman" w:cs="Times New Roman"/>
      <w:szCs w:val="24"/>
      <w:lang w:bidi="en-US"/>
    </w:rPr>
  </w:style>
  <w:style w:type="paragraph" w:styleId="BodyText3">
    <w:name w:val="Body Text 3"/>
    <w:basedOn w:val="Normal"/>
    <w:link w:val="BodyText3Char"/>
    <w:unhideWhenUsed/>
    <w:rsid w:val="00941207"/>
    <w:pPr>
      <w:spacing w:after="120"/>
    </w:pPr>
    <w:rPr>
      <w:sz w:val="16"/>
      <w:szCs w:val="16"/>
      <w:lang w:bidi="en-US"/>
    </w:rPr>
  </w:style>
  <w:style w:type="character" w:customStyle="1" w:styleId="BodyText3Char">
    <w:name w:val="Body Text 3 Char"/>
    <w:link w:val="BodyText3"/>
    <w:uiPriority w:val="99"/>
    <w:semiHidden/>
    <w:rsid w:val="00941207"/>
    <w:rPr>
      <w:rFonts w:ascii="Times New Roman" w:eastAsia="Times New Roman" w:hAnsi="Times New Roman" w:cs="Times New Roman"/>
      <w:sz w:val="16"/>
      <w:szCs w:val="16"/>
      <w:lang w:bidi="en-US"/>
    </w:rPr>
  </w:style>
  <w:style w:type="paragraph" w:customStyle="1" w:styleId="Style1">
    <w:name w:val="Style1"/>
    <w:basedOn w:val="Normal"/>
    <w:uiPriority w:val="99"/>
    <w:rsid w:val="00941207"/>
    <w:pPr>
      <w:shd w:val="clear" w:color="auto" w:fill="99CCFF"/>
      <w:tabs>
        <w:tab w:val="num" w:pos="360"/>
      </w:tabs>
      <w:ind w:left="360" w:hanging="360"/>
    </w:pPr>
    <w:rPr>
      <w:sz w:val="22"/>
      <w:lang w:bidi="en-US"/>
    </w:rPr>
  </w:style>
  <w:style w:type="character" w:customStyle="1" w:styleId="CharCharCharCharCharCharCharCharCharCharChar">
    <w:name w:val="Char Char Char Char Char Char Char Char Char Char Char"/>
    <w:uiPriority w:val="99"/>
    <w:rsid w:val="00941207"/>
    <w:rPr>
      <w:rFonts w:ascii="Times New Roman" w:hAnsi="Times New Roman" w:cs="Times New Roman"/>
      <w:b/>
      <w:bCs/>
      <w:kern w:val="32"/>
      <w:sz w:val="32"/>
      <w:szCs w:val="32"/>
      <w:lang w:val="en-US" w:eastAsia="en-US"/>
    </w:rPr>
  </w:style>
  <w:style w:type="character" w:customStyle="1" w:styleId="StyleBodyTextItalicCharChar1CharChar">
    <w:name w:val="Style Body Text + Italic Char Char1 Char Char"/>
    <w:uiPriority w:val="99"/>
    <w:rsid w:val="00941207"/>
    <w:rPr>
      <w:rFonts w:cs="Times New Roman"/>
      <w:i/>
      <w:iCs/>
      <w:color w:val="99CCFF"/>
      <w:sz w:val="24"/>
      <w:szCs w:val="24"/>
      <w:lang w:val="en-US" w:eastAsia="en-US"/>
    </w:rPr>
  </w:style>
  <w:style w:type="character" w:customStyle="1" w:styleId="StyleBodyTextItalicCharChar">
    <w:name w:val="Style Body Text + Italic Char Char"/>
    <w:uiPriority w:val="99"/>
    <w:rsid w:val="00941207"/>
    <w:rPr>
      <w:rFonts w:cs="Times New Roman"/>
      <w:i/>
      <w:iCs/>
      <w:color w:val="99CCFF"/>
      <w:sz w:val="24"/>
      <w:szCs w:val="24"/>
      <w:lang w:val="en-US" w:eastAsia="en-US"/>
    </w:rPr>
  </w:style>
  <w:style w:type="paragraph" w:customStyle="1" w:styleId="StyleHeading2TimesNewRoman12ptNotItalic">
    <w:name w:val="Style Heading 2 + Times New Roman 12 pt Not Italic"/>
    <w:basedOn w:val="Heading2"/>
    <w:next w:val="Normal"/>
    <w:uiPriority w:val="99"/>
    <w:rsid w:val="00941207"/>
    <w:rPr>
      <w:kern w:val="32"/>
      <w:szCs w:val="24"/>
    </w:rPr>
  </w:style>
  <w:style w:type="paragraph" w:customStyle="1" w:styleId="StylePatternClearLightYellow">
    <w:name w:val="Style Pattern: Clear (Light Yellow)"/>
    <w:basedOn w:val="Normal"/>
    <w:uiPriority w:val="99"/>
    <w:rsid w:val="00941207"/>
    <w:pPr>
      <w:shd w:val="clear" w:color="auto" w:fill="FFFF99"/>
    </w:pPr>
    <w:rPr>
      <w:sz w:val="22"/>
      <w:lang w:bidi="en-US"/>
    </w:rPr>
  </w:style>
  <w:style w:type="paragraph" w:customStyle="1" w:styleId="navyborder">
    <w:name w:val="navyborder"/>
    <w:basedOn w:val="Normal"/>
    <w:uiPriority w:val="99"/>
    <w:rsid w:val="00941207"/>
    <w:pPr>
      <w:spacing w:before="100" w:beforeAutospacing="1" w:after="100" w:afterAutospacing="1"/>
    </w:pPr>
    <w:rPr>
      <w:color w:val="000000"/>
      <w:sz w:val="20"/>
      <w:szCs w:val="20"/>
      <w:lang w:bidi="en-US"/>
    </w:rPr>
  </w:style>
  <w:style w:type="paragraph" w:customStyle="1" w:styleId="StyleBodyTextItalic">
    <w:name w:val="Style Body Text + Italic"/>
    <w:basedOn w:val="BodyText"/>
    <w:uiPriority w:val="99"/>
    <w:rsid w:val="00941207"/>
    <w:rPr>
      <w:i/>
      <w:iCs/>
      <w:color w:val="99CCFF"/>
      <w:sz w:val="22"/>
      <w:lang w:bidi="en-US"/>
    </w:rPr>
  </w:style>
  <w:style w:type="paragraph" w:customStyle="1" w:styleId="Heading1NotItalic">
    <w:name w:val="Heading 1 + Not Italic"/>
    <w:aliases w:val="Centered,Box: (Single solid line,Auto,0.5 pt Line..."/>
    <w:basedOn w:val="Heading2"/>
    <w:uiPriority w:val="99"/>
    <w:rsid w:val="00941207"/>
    <w:pPr>
      <w:pBdr>
        <w:top w:val="single" w:sz="4" w:space="1" w:color="auto"/>
        <w:left w:val="single" w:sz="4" w:space="4" w:color="auto"/>
        <w:bottom w:val="single" w:sz="4" w:space="1" w:color="auto"/>
        <w:right w:val="single" w:sz="4" w:space="4" w:color="auto"/>
      </w:pBdr>
    </w:pPr>
  </w:style>
  <w:style w:type="paragraph" w:customStyle="1" w:styleId="StyleBodyTextItalicCharChar1">
    <w:name w:val="Style Body Text + Italic Char Char1"/>
    <w:basedOn w:val="BodyText"/>
    <w:uiPriority w:val="99"/>
    <w:rsid w:val="00941207"/>
    <w:rPr>
      <w:i/>
      <w:iCs/>
      <w:color w:val="99CCFF"/>
      <w:sz w:val="22"/>
      <w:lang w:bidi="en-US"/>
    </w:rPr>
  </w:style>
  <w:style w:type="paragraph" w:styleId="Title">
    <w:name w:val="Title"/>
    <w:basedOn w:val="Normal"/>
    <w:next w:val="Normal"/>
    <w:link w:val="TitleChar"/>
    <w:uiPriority w:val="10"/>
    <w:qFormat/>
    <w:rsid w:val="00941207"/>
    <w:pPr>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941207"/>
    <w:rPr>
      <w:rFonts w:ascii="Cambria" w:eastAsia="Times New Roman" w:hAnsi="Cambria" w:cs="Times New Roman"/>
      <w:b/>
      <w:bCs/>
      <w:kern w:val="28"/>
      <w:sz w:val="32"/>
      <w:szCs w:val="32"/>
      <w:lang w:bidi="en-US"/>
    </w:rPr>
  </w:style>
  <w:style w:type="paragraph" w:styleId="Subtitle">
    <w:name w:val="Subtitle"/>
    <w:basedOn w:val="Normal"/>
    <w:next w:val="Normal"/>
    <w:link w:val="SubtitleChar"/>
    <w:uiPriority w:val="11"/>
    <w:qFormat/>
    <w:rsid w:val="00941207"/>
    <w:pPr>
      <w:spacing w:after="60"/>
      <w:jc w:val="center"/>
      <w:outlineLvl w:val="1"/>
    </w:pPr>
    <w:rPr>
      <w:rFonts w:ascii="Cambria" w:hAnsi="Cambria"/>
      <w:sz w:val="22"/>
      <w:lang w:bidi="en-US"/>
    </w:rPr>
  </w:style>
  <w:style w:type="character" w:customStyle="1" w:styleId="SubtitleChar">
    <w:name w:val="Subtitle Char"/>
    <w:link w:val="Subtitle"/>
    <w:uiPriority w:val="11"/>
    <w:rsid w:val="00941207"/>
    <w:rPr>
      <w:rFonts w:ascii="Cambria" w:eastAsia="Times New Roman" w:hAnsi="Cambria" w:cs="Times New Roman"/>
      <w:szCs w:val="24"/>
      <w:lang w:bidi="en-US"/>
    </w:rPr>
  </w:style>
  <w:style w:type="paragraph" w:styleId="NoSpacing">
    <w:name w:val="No Spacing"/>
    <w:basedOn w:val="Normal"/>
    <w:uiPriority w:val="1"/>
    <w:qFormat/>
    <w:rsid w:val="00941207"/>
    <w:rPr>
      <w:sz w:val="22"/>
      <w:szCs w:val="32"/>
      <w:lang w:bidi="en-US"/>
    </w:rPr>
  </w:style>
  <w:style w:type="paragraph" w:styleId="Quote">
    <w:name w:val="Quote"/>
    <w:basedOn w:val="Normal"/>
    <w:next w:val="Normal"/>
    <w:link w:val="QuoteChar"/>
    <w:uiPriority w:val="29"/>
    <w:qFormat/>
    <w:rsid w:val="00941207"/>
    <w:rPr>
      <w:i/>
      <w:sz w:val="22"/>
      <w:lang w:bidi="en-US"/>
    </w:rPr>
  </w:style>
  <w:style w:type="character" w:customStyle="1" w:styleId="QuoteChar">
    <w:name w:val="Quote Char"/>
    <w:link w:val="Quote"/>
    <w:uiPriority w:val="29"/>
    <w:rsid w:val="00941207"/>
    <w:rPr>
      <w:rFonts w:ascii="Times New Roman" w:eastAsia="Times New Roman" w:hAnsi="Times New Roman" w:cs="Times New Roman"/>
      <w:i/>
      <w:szCs w:val="24"/>
      <w:lang w:bidi="en-US"/>
    </w:rPr>
  </w:style>
  <w:style w:type="paragraph" w:styleId="IntenseQuote">
    <w:name w:val="Intense Quote"/>
    <w:basedOn w:val="Normal"/>
    <w:next w:val="Normal"/>
    <w:link w:val="IntenseQuoteChar"/>
    <w:uiPriority w:val="30"/>
    <w:qFormat/>
    <w:rsid w:val="00941207"/>
    <w:pPr>
      <w:ind w:left="720" w:right="720"/>
    </w:pPr>
    <w:rPr>
      <w:b/>
      <w:i/>
      <w:sz w:val="22"/>
      <w:szCs w:val="22"/>
      <w:lang w:bidi="en-US"/>
    </w:rPr>
  </w:style>
  <w:style w:type="character" w:customStyle="1" w:styleId="IntenseQuoteChar">
    <w:name w:val="Intense Quote Char"/>
    <w:link w:val="IntenseQuote"/>
    <w:uiPriority w:val="30"/>
    <w:rsid w:val="00941207"/>
    <w:rPr>
      <w:rFonts w:ascii="Times New Roman" w:eastAsia="Times New Roman" w:hAnsi="Times New Roman" w:cs="Times New Roman"/>
      <w:b/>
      <w:i/>
      <w:lang w:bidi="en-US"/>
    </w:rPr>
  </w:style>
  <w:style w:type="character" w:styleId="SubtleEmphasis">
    <w:name w:val="Subtle Emphasis"/>
    <w:uiPriority w:val="19"/>
    <w:qFormat/>
    <w:rsid w:val="00941207"/>
    <w:rPr>
      <w:i/>
      <w:color w:val="5A5A5A"/>
    </w:rPr>
  </w:style>
  <w:style w:type="character" w:styleId="IntenseEmphasis">
    <w:name w:val="Intense Emphasis"/>
    <w:uiPriority w:val="21"/>
    <w:qFormat/>
    <w:rsid w:val="00941207"/>
    <w:rPr>
      <w:b/>
      <w:i/>
      <w:sz w:val="24"/>
      <w:szCs w:val="24"/>
      <w:u w:val="single"/>
    </w:rPr>
  </w:style>
  <w:style w:type="character" w:styleId="SubtleReference">
    <w:name w:val="Subtle Reference"/>
    <w:uiPriority w:val="31"/>
    <w:qFormat/>
    <w:rsid w:val="00941207"/>
    <w:rPr>
      <w:sz w:val="24"/>
      <w:szCs w:val="24"/>
      <w:u w:val="single"/>
    </w:rPr>
  </w:style>
  <w:style w:type="character" w:styleId="IntenseReference">
    <w:name w:val="Intense Reference"/>
    <w:uiPriority w:val="32"/>
    <w:qFormat/>
    <w:rsid w:val="00941207"/>
    <w:rPr>
      <w:b/>
      <w:sz w:val="24"/>
      <w:u w:val="single"/>
    </w:rPr>
  </w:style>
  <w:style w:type="character" w:styleId="BookTitle">
    <w:name w:val="Book Title"/>
    <w:uiPriority w:val="33"/>
    <w:qFormat/>
    <w:rsid w:val="00941207"/>
    <w:rPr>
      <w:rFonts w:ascii="Cambria" w:eastAsia="Times New Roman" w:hAnsi="Cambria"/>
      <w:b/>
      <w:i/>
      <w:sz w:val="24"/>
      <w:szCs w:val="24"/>
    </w:rPr>
  </w:style>
  <w:style w:type="paragraph" w:customStyle="1" w:styleId="SectionHeader">
    <w:name w:val="Section Header"/>
    <w:basedOn w:val="Heading1"/>
    <w:rsid w:val="00941207"/>
    <w:pPr>
      <w:tabs>
        <w:tab w:val="left" w:leader="underscore" w:pos="8640"/>
      </w:tabs>
      <w:spacing w:before="240"/>
      <w:jc w:val="left"/>
    </w:pPr>
    <w:rPr>
      <w:rFonts w:ascii="Cambria" w:hAnsi="Cambria" w:cs="Times New Roman"/>
      <w:sz w:val="32"/>
      <w:u w:val="single"/>
      <w:lang w:bidi="en-US"/>
    </w:rPr>
  </w:style>
  <w:style w:type="paragraph" w:customStyle="1" w:styleId="UnderlinedHeader">
    <w:name w:val="Underlined Header"/>
    <w:basedOn w:val="SectionHeader"/>
    <w:autoRedefine/>
    <w:qFormat/>
    <w:rsid w:val="00941207"/>
    <w:pPr>
      <w:pageBreakBefore/>
      <w:tabs>
        <w:tab w:val="center" w:pos="8640"/>
      </w:tabs>
      <w:spacing w:before="0" w:after="0"/>
    </w:pPr>
    <w:rPr>
      <w:rFonts w:ascii="Times New Roman" w:hAnsi="Times New Roman"/>
      <w:sz w:val="28"/>
    </w:rPr>
  </w:style>
  <w:style w:type="paragraph" w:customStyle="1" w:styleId="Body1">
    <w:name w:val="Body 1"/>
    <w:rsid w:val="00C93D0F"/>
    <w:pPr>
      <w:spacing w:after="200" w:line="276" w:lineRule="auto"/>
      <w:outlineLvl w:val="0"/>
    </w:pPr>
    <w:rPr>
      <w:rFonts w:ascii="Helvetica" w:eastAsia="Arial Unicode MS" w:hAnsi="Helvetica"/>
      <w:color w:val="000000"/>
      <w:sz w:val="22"/>
      <w:u w:color="000000"/>
    </w:rPr>
  </w:style>
  <w:style w:type="character" w:styleId="CommentReference">
    <w:name w:val="annotation reference"/>
    <w:uiPriority w:val="99"/>
    <w:semiHidden/>
    <w:unhideWhenUsed/>
    <w:rsid w:val="0041240E"/>
    <w:rPr>
      <w:sz w:val="16"/>
      <w:szCs w:val="16"/>
    </w:rPr>
  </w:style>
  <w:style w:type="character" w:customStyle="1" w:styleId="EmailStyle108">
    <w:name w:val="EmailStyle108"/>
    <w:semiHidden/>
    <w:rsid w:val="00C730B2"/>
    <w:rPr>
      <w:rFonts w:ascii="Arial" w:hAnsi="Arial" w:cs="Arial"/>
      <w:color w:val="auto"/>
      <w:sz w:val="20"/>
      <w:szCs w:val="20"/>
    </w:rPr>
  </w:style>
  <w:style w:type="character" w:styleId="FollowedHyperlink">
    <w:name w:val="FollowedHyperlink"/>
    <w:uiPriority w:val="99"/>
    <w:rsid w:val="00D163A5"/>
    <w:rPr>
      <w:color w:val="800080"/>
      <w:u w:val="single"/>
    </w:rPr>
  </w:style>
  <w:style w:type="paragraph" w:customStyle="1" w:styleId="default2">
    <w:name w:val="default2"/>
    <w:basedOn w:val="Normal"/>
    <w:rsid w:val="00D163A5"/>
    <w:pPr>
      <w:autoSpaceDE w:val="0"/>
      <w:autoSpaceDN w:val="0"/>
    </w:pPr>
    <w:rPr>
      <w:color w:val="000000"/>
    </w:rPr>
  </w:style>
  <w:style w:type="character" w:customStyle="1" w:styleId="EmailStyle1111">
    <w:name w:val="EmailStyle1111"/>
    <w:semiHidden/>
    <w:rsid w:val="00D163A5"/>
    <w:rPr>
      <w:rFonts w:ascii="Arial" w:hAnsi="Arial" w:cs="Arial"/>
      <w:color w:val="auto"/>
      <w:sz w:val="20"/>
      <w:szCs w:val="20"/>
    </w:rPr>
  </w:style>
  <w:style w:type="numbering" w:styleId="111111">
    <w:name w:val="Outline List 2"/>
    <w:basedOn w:val="NoList"/>
    <w:rsid w:val="00D163A5"/>
    <w:pPr>
      <w:numPr>
        <w:numId w:val="7"/>
      </w:numPr>
    </w:pPr>
  </w:style>
  <w:style w:type="character" w:customStyle="1" w:styleId="EmailStyle1131">
    <w:name w:val="EmailStyle1131"/>
    <w:semiHidden/>
    <w:rsid w:val="00D163A5"/>
    <w:rPr>
      <w:rFonts w:ascii="Arial" w:hAnsi="Arial" w:cs="Arial"/>
      <w:color w:val="auto"/>
      <w:sz w:val="20"/>
      <w:szCs w:val="20"/>
    </w:rPr>
  </w:style>
  <w:style w:type="paragraph" w:customStyle="1" w:styleId="default1">
    <w:name w:val="default1"/>
    <w:basedOn w:val="Normal"/>
    <w:rsid w:val="00D163A5"/>
    <w:pPr>
      <w:autoSpaceDE w:val="0"/>
      <w:autoSpaceDN w:val="0"/>
    </w:pPr>
    <w:rPr>
      <w:color w:val="000000"/>
    </w:rPr>
  </w:style>
  <w:style w:type="paragraph" w:customStyle="1" w:styleId="ed-reports-keymeasures-table">
    <w:name w:val="ed-reports-keymeasures-table"/>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
    <w:name w:val="footnote"/>
    <w:basedOn w:val="DefaultParagraphFont"/>
    <w:rsid w:val="00D163A5"/>
  </w:style>
  <w:style w:type="character" w:customStyle="1" w:styleId="EmailStyle1171">
    <w:name w:val="EmailStyle1171"/>
    <w:semiHidden/>
    <w:rsid w:val="00D163A5"/>
    <w:rPr>
      <w:rFonts w:ascii="Arial" w:hAnsi="Arial" w:cs="Arial"/>
      <w:color w:val="auto"/>
      <w:sz w:val="20"/>
      <w:szCs w:val="20"/>
    </w:rPr>
  </w:style>
  <w:style w:type="character" w:customStyle="1" w:styleId="EmailStyle1181">
    <w:name w:val="EmailStyle1181"/>
    <w:semiHidden/>
    <w:rsid w:val="00D163A5"/>
    <w:rPr>
      <w:rFonts w:ascii="Arial" w:hAnsi="Arial" w:cs="Arial"/>
      <w:color w:val="auto"/>
      <w:sz w:val="20"/>
      <w:szCs w:val="20"/>
    </w:rPr>
  </w:style>
  <w:style w:type="paragraph" w:customStyle="1" w:styleId="default3">
    <w:name w:val="default3"/>
    <w:basedOn w:val="Normal"/>
    <w:rsid w:val="00D163A5"/>
    <w:pPr>
      <w:autoSpaceDE w:val="0"/>
      <w:autoSpaceDN w:val="0"/>
    </w:pPr>
    <w:rPr>
      <w:color w:val="000000"/>
    </w:rPr>
  </w:style>
  <w:style w:type="paragraph" w:customStyle="1" w:styleId="ed-reports-keymeasures-table1">
    <w:name w:val="ed-reports-keymeasures-table1"/>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1">
    <w:name w:val="footnote1"/>
    <w:basedOn w:val="DefaultParagraphFont"/>
    <w:rsid w:val="00D163A5"/>
  </w:style>
  <w:style w:type="character" w:customStyle="1" w:styleId="EmailStyle1221">
    <w:name w:val="EmailStyle1221"/>
    <w:semiHidden/>
    <w:rsid w:val="00D163A5"/>
    <w:rPr>
      <w:rFonts w:ascii="Arial" w:hAnsi="Arial" w:cs="Arial"/>
      <w:color w:val="auto"/>
      <w:sz w:val="20"/>
      <w:szCs w:val="20"/>
    </w:rPr>
  </w:style>
  <w:style w:type="character" w:customStyle="1" w:styleId="EmailStyle1231">
    <w:name w:val="EmailStyle1231"/>
    <w:semiHidden/>
    <w:rsid w:val="00D163A5"/>
    <w:rPr>
      <w:rFonts w:ascii="Arial" w:hAnsi="Arial" w:cs="Arial"/>
      <w:color w:val="auto"/>
      <w:sz w:val="20"/>
      <w:szCs w:val="20"/>
    </w:rPr>
  </w:style>
  <w:style w:type="paragraph" w:customStyle="1" w:styleId="default4">
    <w:name w:val="default4"/>
    <w:basedOn w:val="Normal"/>
    <w:rsid w:val="00D163A5"/>
    <w:pPr>
      <w:autoSpaceDE w:val="0"/>
      <w:autoSpaceDN w:val="0"/>
    </w:pPr>
    <w:rPr>
      <w:color w:val="000000"/>
    </w:rPr>
  </w:style>
  <w:style w:type="paragraph" w:customStyle="1" w:styleId="ed-reports-keymeasures-table2">
    <w:name w:val="ed-reports-keymeasures-table2"/>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footnote2">
    <w:name w:val="footnote2"/>
    <w:basedOn w:val="DefaultParagraphFont"/>
    <w:rsid w:val="00D163A5"/>
  </w:style>
  <w:style w:type="paragraph" w:customStyle="1" w:styleId="default5">
    <w:name w:val="default5"/>
    <w:basedOn w:val="Normal"/>
    <w:rsid w:val="00D163A5"/>
    <w:pPr>
      <w:autoSpaceDE w:val="0"/>
      <w:autoSpaceDN w:val="0"/>
    </w:pPr>
    <w:rPr>
      <w:color w:val="000000"/>
    </w:rPr>
  </w:style>
  <w:style w:type="paragraph" w:customStyle="1" w:styleId="ed-reports-keymeasures-table3">
    <w:name w:val="ed-reports-keymeasures-table3"/>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efault6">
    <w:name w:val="default6"/>
    <w:basedOn w:val="Normal"/>
    <w:rsid w:val="00D163A5"/>
    <w:pPr>
      <w:autoSpaceDE w:val="0"/>
      <w:autoSpaceDN w:val="0"/>
    </w:pPr>
    <w:rPr>
      <w:color w:val="000000"/>
    </w:rPr>
  </w:style>
  <w:style w:type="paragraph" w:customStyle="1" w:styleId="ed-reports-keymeasures-table4">
    <w:name w:val="ed-reports-keymeasures-table4"/>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default21">
    <w:name w:val="default21"/>
    <w:basedOn w:val="Normal"/>
    <w:rsid w:val="00D163A5"/>
    <w:pPr>
      <w:autoSpaceDE w:val="0"/>
      <w:autoSpaceDN w:val="0"/>
    </w:pPr>
    <w:rPr>
      <w:color w:val="000000"/>
    </w:rPr>
  </w:style>
  <w:style w:type="paragraph" w:customStyle="1" w:styleId="default11">
    <w:name w:val="default11"/>
    <w:basedOn w:val="Normal"/>
    <w:rsid w:val="00D163A5"/>
    <w:pPr>
      <w:autoSpaceDE w:val="0"/>
      <w:autoSpaceDN w:val="0"/>
    </w:pPr>
    <w:rPr>
      <w:color w:val="000000"/>
    </w:rPr>
  </w:style>
  <w:style w:type="paragraph" w:customStyle="1" w:styleId="default51">
    <w:name w:val="default51"/>
    <w:basedOn w:val="Normal"/>
    <w:rsid w:val="00D163A5"/>
    <w:pPr>
      <w:autoSpaceDE w:val="0"/>
      <w:autoSpaceDN w:val="0"/>
    </w:pPr>
    <w:rPr>
      <w:color w:val="000000"/>
    </w:rPr>
  </w:style>
  <w:style w:type="paragraph" w:customStyle="1" w:styleId="ed-reports-keymeasures-table31">
    <w:name w:val="ed-reports-keymeasures-table31"/>
    <w:basedOn w:val="Normal"/>
    <w:rsid w:val="00D163A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StyleFootnoteReference10pt">
    <w:name w:val="Style Footnote Reference + 10 pt"/>
    <w:rsid w:val="00D163A5"/>
    <w:rPr>
      <w:rFonts w:ascii="Times New Roman" w:hAnsi="Times New Roman"/>
      <w:sz w:val="22"/>
      <w:szCs w:val="16"/>
    </w:rPr>
  </w:style>
  <w:style w:type="paragraph" w:customStyle="1" w:styleId="StyleHeading110pt">
    <w:name w:val="Style Heading 1 + 10 pt"/>
    <w:basedOn w:val="Heading1"/>
    <w:rsid w:val="00D163A5"/>
    <w:rPr>
      <w:sz w:val="20"/>
    </w:rPr>
  </w:style>
  <w:style w:type="paragraph" w:customStyle="1" w:styleId="NumberTable">
    <w:name w:val="NumberTable"/>
    <w:basedOn w:val="Normal"/>
    <w:rsid w:val="00D163A5"/>
    <w:pPr>
      <w:numPr>
        <w:numId w:val="8"/>
      </w:numPr>
    </w:pPr>
    <w:rPr>
      <w:sz w:val="20"/>
    </w:rPr>
  </w:style>
  <w:style w:type="paragraph" w:customStyle="1" w:styleId="Normal14">
    <w:name w:val="Normal+14"/>
    <w:basedOn w:val="NormalWeb"/>
    <w:rsid w:val="00D163A5"/>
    <w:pPr>
      <w:jc w:val="center"/>
    </w:pPr>
    <w:rPr>
      <w:b/>
      <w:bCs/>
      <w:sz w:val="20"/>
    </w:rPr>
  </w:style>
  <w:style w:type="paragraph" w:customStyle="1" w:styleId="BIBBodyText">
    <w:name w:val="BIB Body Text"/>
    <w:basedOn w:val="NormalWeb"/>
    <w:link w:val="BIBBodyTextChar"/>
    <w:rsid w:val="00D163A5"/>
    <w:pPr>
      <w:spacing w:before="0" w:beforeAutospacing="0" w:after="0" w:afterAutospacing="0"/>
    </w:pPr>
    <w:rPr>
      <w:rFonts w:ascii="Times" w:hAnsi="Times" w:cs="Arial"/>
      <w:kern w:val="20"/>
      <w:sz w:val="22"/>
      <w:szCs w:val="22"/>
    </w:rPr>
  </w:style>
  <w:style w:type="character" w:customStyle="1" w:styleId="BIBBodyTextChar">
    <w:name w:val="BIB Body Text Char"/>
    <w:link w:val="BIBBodyText"/>
    <w:rsid w:val="00D163A5"/>
    <w:rPr>
      <w:rFonts w:ascii="Times" w:eastAsia="Times New Roman" w:hAnsi="Times" w:cs="Arial"/>
      <w:kern w:val="20"/>
    </w:rPr>
  </w:style>
  <w:style w:type="paragraph" w:customStyle="1" w:styleId="StyleFootnote10pt">
    <w:name w:val="Style Footnote + 10pt"/>
    <w:basedOn w:val="Normal"/>
    <w:link w:val="StyleFootnote10ptChar"/>
    <w:rsid w:val="00D163A5"/>
    <w:pPr>
      <w:spacing w:line="200" w:lineRule="exact"/>
      <w:jc w:val="center"/>
    </w:pPr>
    <w:rPr>
      <w:b/>
      <w:bCs/>
      <w:sz w:val="20"/>
    </w:rPr>
  </w:style>
  <w:style w:type="character" w:customStyle="1" w:styleId="StyleFootnote10ptChar">
    <w:name w:val="Style Footnote + 10pt Char"/>
    <w:link w:val="StyleFootnote10pt"/>
    <w:rsid w:val="00D163A5"/>
    <w:rPr>
      <w:rFonts w:ascii="Times New Roman" w:eastAsia="Times New Roman" w:hAnsi="Times New Roman" w:cs="Times New Roman"/>
      <w:b/>
      <w:bCs/>
      <w:sz w:val="20"/>
      <w:szCs w:val="24"/>
    </w:rPr>
  </w:style>
  <w:style w:type="character" w:customStyle="1" w:styleId="explanation">
    <w:name w:val="explanation"/>
    <w:basedOn w:val="DefaultParagraphFont"/>
    <w:rsid w:val="00D163A5"/>
  </w:style>
  <w:style w:type="character" w:customStyle="1" w:styleId="CharChar2">
    <w:name w:val="Char Char2"/>
    <w:rsid w:val="00D163A5"/>
    <w:rPr>
      <w:rFonts w:cs="Arial"/>
      <w:b/>
      <w:bCs/>
      <w:kern w:val="32"/>
      <w:sz w:val="28"/>
      <w:szCs w:val="32"/>
      <w:lang w:val="en-US" w:eastAsia="en-US" w:bidi="ar-SA"/>
    </w:rPr>
  </w:style>
  <w:style w:type="character" w:customStyle="1" w:styleId="CharChar1">
    <w:name w:val="Char Char1"/>
    <w:rsid w:val="00D163A5"/>
    <w:rPr>
      <w:lang w:val="en-US" w:eastAsia="en-US" w:bidi="ar-SA"/>
    </w:rPr>
  </w:style>
  <w:style w:type="character" w:customStyle="1" w:styleId="A11">
    <w:name w:val="A11"/>
    <w:rsid w:val="00D163A5"/>
    <w:rPr>
      <w:rFonts w:cs="Myriad Pro"/>
      <w:color w:val="0066B1"/>
      <w:sz w:val="18"/>
      <w:szCs w:val="18"/>
      <w:u w:val="single"/>
    </w:rPr>
  </w:style>
  <w:style w:type="character" w:styleId="EndnoteReference">
    <w:name w:val="endnote reference"/>
    <w:uiPriority w:val="99"/>
    <w:semiHidden/>
    <w:rsid w:val="00D163A5"/>
    <w:rPr>
      <w:vertAlign w:val="superscript"/>
    </w:rPr>
  </w:style>
  <w:style w:type="character" w:customStyle="1" w:styleId="style11">
    <w:name w:val="style11"/>
    <w:rsid w:val="00D163A5"/>
    <w:rPr>
      <w:b/>
      <w:bCs/>
      <w:color w:val="006600"/>
    </w:rPr>
  </w:style>
  <w:style w:type="paragraph" w:styleId="BodyTextIndent">
    <w:name w:val="Body Text Indent"/>
    <w:basedOn w:val="Normal"/>
    <w:link w:val="BodyTextIndentChar"/>
    <w:rsid w:val="00D163A5"/>
    <w:pPr>
      <w:spacing w:after="120"/>
      <w:ind w:left="360"/>
    </w:pPr>
  </w:style>
  <w:style w:type="character" w:customStyle="1" w:styleId="BodyTextIndentChar">
    <w:name w:val="Body Text Indent Char"/>
    <w:link w:val="BodyTextIndent"/>
    <w:rsid w:val="00D163A5"/>
    <w:rPr>
      <w:rFonts w:ascii="Times New Roman" w:eastAsia="Times New Roman" w:hAnsi="Times New Roman" w:cs="Times New Roman"/>
      <w:sz w:val="24"/>
      <w:szCs w:val="24"/>
    </w:rPr>
  </w:style>
  <w:style w:type="paragraph" w:customStyle="1" w:styleId="hhs-reports-goallinkages-tabledescription">
    <w:name w:val="hhs-reports-goallinkages-tabledescription"/>
    <w:basedOn w:val="Normal"/>
    <w:rsid w:val="00D163A5"/>
  </w:style>
  <w:style w:type="paragraph" w:customStyle="1" w:styleId="hhs-reports-goallinkages-columnheading-12pt-left">
    <w:name w:val="hhs-reports-goallinkages-columnheading-12pt-left"/>
    <w:basedOn w:val="Normal"/>
    <w:rsid w:val="00D163A5"/>
    <w:rPr>
      <w:b/>
      <w:bCs/>
    </w:rPr>
  </w:style>
  <w:style w:type="paragraph" w:customStyle="1" w:styleId="BodyTextIn">
    <w:name w:val="Body Text In"/>
    <w:basedOn w:val="Normal"/>
    <w:rsid w:val="00D163A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pPr>
  </w:style>
  <w:style w:type="character" w:customStyle="1" w:styleId="CharChar3">
    <w:name w:val="Char Char3"/>
    <w:rsid w:val="00D163A5"/>
    <w:rPr>
      <w:lang w:val="en-US" w:eastAsia="en-US" w:bidi="ar-SA"/>
    </w:rPr>
  </w:style>
  <w:style w:type="paragraph" w:customStyle="1" w:styleId="msolistparagraph0">
    <w:name w:val="msolistparagraph"/>
    <w:basedOn w:val="Normal"/>
    <w:rsid w:val="00D163A5"/>
    <w:pPr>
      <w:ind w:left="720"/>
    </w:pPr>
  </w:style>
  <w:style w:type="paragraph" w:customStyle="1" w:styleId="Footnote0">
    <w:name w:val="Footnote"/>
    <w:basedOn w:val="Normal"/>
    <w:link w:val="FootnoteChar"/>
    <w:rsid w:val="00D163A5"/>
    <w:pPr>
      <w:keepLines/>
      <w:pBdr>
        <w:top w:val="single" w:sz="6" w:space="0" w:color="FFFFFF"/>
        <w:left w:val="single" w:sz="6" w:space="0" w:color="FFFFFF"/>
        <w:bottom w:val="single" w:sz="6" w:space="0" w:color="FFFFFF"/>
        <w:right w:val="single" w:sz="6" w:space="0" w:color="FFFFFF"/>
      </w:pBdr>
      <w:tabs>
        <w:tab w:val="right" w:leader="dot" w:pos="4320"/>
      </w:tabs>
      <w:jc w:val="both"/>
    </w:pPr>
  </w:style>
  <w:style w:type="character" w:customStyle="1" w:styleId="FootnoteChar">
    <w:name w:val="Footnote Char"/>
    <w:link w:val="Footnote0"/>
    <w:rsid w:val="00D163A5"/>
    <w:rPr>
      <w:rFonts w:ascii="Times New Roman" w:eastAsia="Times New Roman" w:hAnsi="Times New Roman" w:cs="Times New Roman"/>
      <w:sz w:val="24"/>
      <w:szCs w:val="24"/>
    </w:rPr>
  </w:style>
  <w:style w:type="paragraph" w:customStyle="1" w:styleId="NormalDEBS000002DEBS000001DEBS000014DEBS000014DEBS000016">
    <w:name w:val="Normal_DEBS000002_DEBS000001_DEBS000014_DEBS000014_DEBS000016"/>
    <w:basedOn w:val="Default"/>
    <w:next w:val="Default"/>
    <w:rsid w:val="00D163A5"/>
    <w:rPr>
      <w:color w:val="auto"/>
    </w:rPr>
  </w:style>
  <w:style w:type="character" w:customStyle="1" w:styleId="CharChar7">
    <w:name w:val="Char Char7"/>
    <w:locked/>
    <w:rsid w:val="00D163A5"/>
    <w:rPr>
      <w:rFonts w:cs="Arial"/>
      <w:b/>
      <w:bCs/>
      <w:kern w:val="32"/>
      <w:sz w:val="28"/>
      <w:szCs w:val="32"/>
      <w:lang w:val="en-US" w:eastAsia="en-US" w:bidi="ar-SA"/>
    </w:rPr>
  </w:style>
  <w:style w:type="character" w:customStyle="1" w:styleId="CharChar6">
    <w:name w:val="Char Char6"/>
    <w:semiHidden/>
    <w:locked/>
    <w:rsid w:val="00D163A5"/>
    <w:rPr>
      <w:rFonts w:ascii="Arial" w:hAnsi="Arial" w:cs="Arial"/>
      <w:b/>
      <w:bCs/>
      <w:sz w:val="26"/>
      <w:szCs w:val="26"/>
      <w:lang w:val="en-US" w:eastAsia="en-US" w:bidi="ar-SA"/>
    </w:rPr>
  </w:style>
  <w:style w:type="character" w:customStyle="1" w:styleId="CharChar4">
    <w:name w:val="Char Char4"/>
    <w:locked/>
    <w:rsid w:val="00D163A5"/>
    <w:rPr>
      <w:lang w:val="en-US" w:eastAsia="en-US" w:bidi="ar-SA"/>
    </w:rPr>
  </w:style>
  <w:style w:type="character" w:customStyle="1" w:styleId="CharChar">
    <w:name w:val="Char Char"/>
    <w:locked/>
    <w:rsid w:val="00D163A5"/>
    <w:rPr>
      <w:lang w:val="en-US" w:eastAsia="en-US" w:bidi="ar-SA"/>
    </w:rPr>
  </w:style>
  <w:style w:type="character" w:customStyle="1" w:styleId="CharChar5">
    <w:name w:val="Char Char5"/>
    <w:semiHidden/>
    <w:locked/>
    <w:rsid w:val="00D163A5"/>
    <w:rPr>
      <w:rFonts w:ascii="Tahoma" w:hAnsi="Tahoma" w:cs="Tahoma"/>
      <w:sz w:val="16"/>
      <w:szCs w:val="16"/>
      <w:lang w:val="en-US" w:eastAsia="en-US" w:bidi="ar-SA"/>
    </w:rPr>
  </w:style>
  <w:style w:type="character" w:customStyle="1" w:styleId="EmailStyle1641">
    <w:name w:val="EmailStyle1641"/>
    <w:semiHidden/>
    <w:rsid w:val="00D163A5"/>
    <w:rPr>
      <w:rFonts w:ascii="Arial" w:hAnsi="Arial" w:cs="Arial" w:hint="default"/>
      <w:color w:val="auto"/>
      <w:sz w:val="20"/>
      <w:szCs w:val="20"/>
    </w:rPr>
  </w:style>
  <w:style w:type="character" w:customStyle="1" w:styleId="EmailStyle1651">
    <w:name w:val="EmailStyle1651"/>
    <w:semiHidden/>
    <w:rsid w:val="00D163A5"/>
    <w:rPr>
      <w:rFonts w:ascii="Arial" w:hAnsi="Arial" w:cs="Arial" w:hint="default"/>
      <w:color w:val="auto"/>
      <w:sz w:val="20"/>
      <w:szCs w:val="20"/>
    </w:rPr>
  </w:style>
  <w:style w:type="character" w:customStyle="1" w:styleId="EmailStyle1661">
    <w:name w:val="EmailStyle1661"/>
    <w:semiHidden/>
    <w:rsid w:val="00D163A5"/>
    <w:rPr>
      <w:rFonts w:ascii="Arial" w:hAnsi="Arial" w:cs="Arial" w:hint="default"/>
      <w:color w:val="auto"/>
      <w:sz w:val="20"/>
      <w:szCs w:val="20"/>
    </w:rPr>
  </w:style>
  <w:style w:type="character" w:customStyle="1" w:styleId="EmailStyle1671">
    <w:name w:val="EmailStyle1671"/>
    <w:semiHidden/>
    <w:rsid w:val="00D163A5"/>
    <w:rPr>
      <w:rFonts w:ascii="Arial" w:hAnsi="Arial" w:cs="Arial" w:hint="default"/>
      <w:color w:val="auto"/>
      <w:sz w:val="20"/>
      <w:szCs w:val="20"/>
    </w:rPr>
  </w:style>
  <w:style w:type="character" w:customStyle="1" w:styleId="EmailStyle1681">
    <w:name w:val="EmailStyle1681"/>
    <w:semiHidden/>
    <w:rsid w:val="00D163A5"/>
    <w:rPr>
      <w:rFonts w:ascii="Arial" w:hAnsi="Arial" w:cs="Arial" w:hint="default"/>
      <w:color w:val="auto"/>
      <w:sz w:val="20"/>
      <w:szCs w:val="20"/>
    </w:rPr>
  </w:style>
  <w:style w:type="character" w:customStyle="1" w:styleId="EmailStyle1691">
    <w:name w:val="EmailStyle1691"/>
    <w:semiHidden/>
    <w:rsid w:val="00D163A5"/>
    <w:rPr>
      <w:rFonts w:ascii="Arial" w:hAnsi="Arial" w:cs="Arial" w:hint="default"/>
      <w:color w:val="auto"/>
      <w:sz w:val="20"/>
      <w:szCs w:val="20"/>
    </w:rPr>
  </w:style>
  <w:style w:type="character" w:customStyle="1" w:styleId="EmailStyle1701">
    <w:name w:val="EmailStyle1701"/>
    <w:semiHidden/>
    <w:rsid w:val="00D163A5"/>
    <w:rPr>
      <w:rFonts w:ascii="Arial" w:hAnsi="Arial" w:cs="Arial"/>
      <w:color w:val="000080"/>
      <w:sz w:val="20"/>
      <w:szCs w:val="20"/>
    </w:rPr>
  </w:style>
  <w:style w:type="paragraph" w:customStyle="1" w:styleId="a">
    <w:name w:val="_"/>
    <w:basedOn w:val="Normal"/>
    <w:rsid w:val="00D163A5"/>
    <w:pPr>
      <w:widowControl w:val="0"/>
      <w:autoSpaceDE w:val="0"/>
      <w:autoSpaceDN w:val="0"/>
      <w:adjustRightInd w:val="0"/>
      <w:ind w:left="2160" w:hanging="720"/>
    </w:pPr>
  </w:style>
  <w:style w:type="paragraph" w:customStyle="1" w:styleId="1">
    <w:name w:val="_1"/>
    <w:basedOn w:val="Normal"/>
    <w:rsid w:val="00D163A5"/>
    <w:pPr>
      <w:widowControl w:val="0"/>
      <w:autoSpaceDE w:val="0"/>
      <w:autoSpaceDN w:val="0"/>
      <w:adjustRightInd w:val="0"/>
      <w:ind w:left="720" w:hanging="720"/>
    </w:pPr>
  </w:style>
  <w:style w:type="paragraph" w:customStyle="1" w:styleId="xl64">
    <w:name w:val="xl64"/>
    <w:basedOn w:val="Normal"/>
    <w:rsid w:val="00D163A5"/>
    <w:pPr>
      <w:spacing w:before="100" w:beforeAutospacing="1" w:after="100" w:afterAutospacing="1"/>
      <w:jc w:val="center"/>
    </w:pPr>
  </w:style>
  <w:style w:type="paragraph" w:customStyle="1" w:styleId="xl65">
    <w:name w:val="xl65"/>
    <w:basedOn w:val="Normal"/>
    <w:rsid w:val="00D163A5"/>
    <w:pPr>
      <w:spacing w:before="100" w:beforeAutospacing="1" w:after="100" w:afterAutospacing="1"/>
    </w:pPr>
    <w:rPr>
      <w:rFonts w:ascii="Arial" w:hAnsi="Arial" w:cs="Arial"/>
      <w:b/>
      <w:bCs/>
    </w:rPr>
  </w:style>
  <w:style w:type="paragraph" w:customStyle="1" w:styleId="xl66">
    <w:name w:val="xl66"/>
    <w:basedOn w:val="Normal"/>
    <w:rsid w:val="00D163A5"/>
    <w:pPr>
      <w:spacing w:before="100" w:beforeAutospacing="1" w:after="100" w:afterAutospacing="1"/>
      <w:jc w:val="center"/>
    </w:pPr>
    <w:rPr>
      <w:rFonts w:ascii="Arial" w:hAnsi="Arial" w:cs="Arial"/>
      <w:b/>
      <w:bCs/>
    </w:rPr>
  </w:style>
  <w:style w:type="character" w:customStyle="1" w:styleId="A1">
    <w:name w:val="A1"/>
    <w:uiPriority w:val="99"/>
    <w:rsid w:val="00D163A5"/>
    <w:rPr>
      <w:b/>
      <w:bCs/>
      <w:color w:val="000000"/>
    </w:rPr>
  </w:style>
  <w:style w:type="character" w:customStyle="1" w:styleId="A22">
    <w:name w:val="A22"/>
    <w:uiPriority w:val="99"/>
    <w:rsid w:val="002E119D"/>
    <w:rPr>
      <w:rFonts w:ascii="Adobe Garamond Pro" w:hAnsi="Adobe Garamond Pro" w:hint="default"/>
      <w:color w:val="221E1F"/>
    </w:rPr>
  </w:style>
  <w:style w:type="paragraph" w:styleId="Caption">
    <w:name w:val="caption"/>
    <w:basedOn w:val="Normal"/>
    <w:next w:val="Normal"/>
    <w:uiPriority w:val="35"/>
    <w:semiHidden/>
    <w:unhideWhenUsed/>
    <w:qFormat/>
    <w:rsid w:val="004C723C"/>
    <w:rPr>
      <w:b/>
      <w:bCs/>
      <w:sz w:val="20"/>
      <w:szCs w:val="20"/>
    </w:rPr>
  </w:style>
  <w:style w:type="paragraph" w:customStyle="1" w:styleId="xl58">
    <w:name w:val="xl58"/>
    <w:basedOn w:val="Normal"/>
    <w:rsid w:val="003D5174"/>
    <w:pPr>
      <w:spacing w:before="100" w:beforeAutospacing="1" w:after="100" w:afterAutospacing="1"/>
    </w:pPr>
    <w:rPr>
      <w:rFonts w:ascii="Arial" w:hAnsi="Arial" w:cs="Arial"/>
      <w:sz w:val="20"/>
      <w:szCs w:val="20"/>
      <w:lang w:eastAsia="zh-TW"/>
    </w:rPr>
  </w:style>
  <w:style w:type="paragraph" w:customStyle="1" w:styleId="xl59">
    <w:name w:val="xl59"/>
    <w:basedOn w:val="Normal"/>
    <w:rsid w:val="003D5174"/>
    <w:pPr>
      <w:spacing w:before="100" w:beforeAutospacing="1" w:after="100" w:afterAutospacing="1"/>
      <w:jc w:val="center"/>
    </w:pPr>
    <w:rPr>
      <w:rFonts w:ascii="Arial" w:hAnsi="Arial" w:cs="Arial"/>
      <w:sz w:val="20"/>
      <w:szCs w:val="20"/>
      <w:lang w:eastAsia="zh-TW"/>
    </w:rPr>
  </w:style>
  <w:style w:type="paragraph" w:customStyle="1" w:styleId="xl60">
    <w:name w:val="xl60"/>
    <w:basedOn w:val="Normal"/>
    <w:rsid w:val="003D5174"/>
    <w:pPr>
      <w:spacing w:before="100" w:beforeAutospacing="1" w:after="100" w:afterAutospacing="1"/>
    </w:pPr>
    <w:rPr>
      <w:rFonts w:ascii="Arial" w:hAnsi="Arial" w:cs="Arial"/>
      <w:sz w:val="20"/>
      <w:szCs w:val="20"/>
      <w:lang w:eastAsia="zh-TW"/>
    </w:rPr>
  </w:style>
  <w:style w:type="paragraph" w:customStyle="1" w:styleId="xl61">
    <w:name w:val="xl61"/>
    <w:basedOn w:val="Normal"/>
    <w:rsid w:val="003D5174"/>
    <w:pPr>
      <w:spacing w:before="100" w:beforeAutospacing="1" w:after="100" w:afterAutospacing="1"/>
    </w:pPr>
    <w:rPr>
      <w:rFonts w:ascii="Arial" w:hAnsi="Arial" w:cs="Arial"/>
      <w:sz w:val="20"/>
      <w:szCs w:val="20"/>
      <w:lang w:eastAsia="zh-TW"/>
    </w:rPr>
  </w:style>
  <w:style w:type="paragraph" w:customStyle="1" w:styleId="xl62">
    <w:name w:val="xl62"/>
    <w:basedOn w:val="Normal"/>
    <w:rsid w:val="003D5174"/>
    <w:pPr>
      <w:spacing w:before="100" w:beforeAutospacing="1" w:after="100" w:afterAutospacing="1"/>
    </w:pPr>
    <w:rPr>
      <w:rFonts w:ascii="Arial" w:hAnsi="Arial" w:cs="Arial"/>
      <w:b/>
      <w:bCs/>
      <w:sz w:val="20"/>
      <w:szCs w:val="20"/>
      <w:lang w:eastAsia="zh-TW"/>
    </w:rPr>
  </w:style>
  <w:style w:type="paragraph" w:customStyle="1" w:styleId="xl63">
    <w:name w:val="xl63"/>
    <w:basedOn w:val="Normal"/>
    <w:rsid w:val="003D5174"/>
    <w:pPr>
      <w:spacing w:before="100" w:beforeAutospacing="1" w:after="100" w:afterAutospacing="1"/>
      <w:jc w:val="center"/>
    </w:pPr>
    <w:rPr>
      <w:rFonts w:ascii="Arial" w:hAnsi="Arial" w:cs="Arial"/>
      <w:b/>
      <w:bCs/>
      <w:sz w:val="20"/>
      <w:szCs w:val="20"/>
      <w:lang w:eastAsia="zh-TW"/>
    </w:rPr>
  </w:style>
  <w:style w:type="paragraph" w:styleId="Revision">
    <w:name w:val="Revision"/>
    <w:hidden/>
    <w:uiPriority w:val="99"/>
    <w:semiHidden/>
    <w:rsid w:val="003D1F5B"/>
    <w:rPr>
      <w:rFonts w:ascii="Times New Roman" w:eastAsia="Times New Roman" w:hAnsi="Times New Roman"/>
      <w:sz w:val="24"/>
      <w:szCs w:val="24"/>
    </w:rPr>
  </w:style>
  <w:style w:type="character" w:customStyle="1" w:styleId="tp-label">
    <w:name w:val="tp-label"/>
    <w:rsid w:val="00BB0D78"/>
  </w:style>
  <w:style w:type="numbering" w:customStyle="1" w:styleId="NoList1">
    <w:name w:val="No List1"/>
    <w:next w:val="NoList"/>
    <w:uiPriority w:val="99"/>
    <w:semiHidden/>
    <w:unhideWhenUsed/>
    <w:rsid w:val="006C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936">
      <w:bodyDiv w:val="1"/>
      <w:marLeft w:val="0"/>
      <w:marRight w:val="0"/>
      <w:marTop w:val="0"/>
      <w:marBottom w:val="0"/>
      <w:divBdr>
        <w:top w:val="none" w:sz="0" w:space="0" w:color="auto"/>
        <w:left w:val="none" w:sz="0" w:space="0" w:color="auto"/>
        <w:bottom w:val="none" w:sz="0" w:space="0" w:color="auto"/>
        <w:right w:val="none" w:sz="0" w:space="0" w:color="auto"/>
      </w:divBdr>
    </w:div>
    <w:div w:id="43720306">
      <w:bodyDiv w:val="1"/>
      <w:marLeft w:val="0"/>
      <w:marRight w:val="0"/>
      <w:marTop w:val="0"/>
      <w:marBottom w:val="0"/>
      <w:divBdr>
        <w:top w:val="none" w:sz="0" w:space="0" w:color="auto"/>
        <w:left w:val="none" w:sz="0" w:space="0" w:color="auto"/>
        <w:bottom w:val="none" w:sz="0" w:space="0" w:color="auto"/>
        <w:right w:val="none" w:sz="0" w:space="0" w:color="auto"/>
      </w:divBdr>
    </w:div>
    <w:div w:id="49233047">
      <w:bodyDiv w:val="1"/>
      <w:marLeft w:val="0"/>
      <w:marRight w:val="0"/>
      <w:marTop w:val="0"/>
      <w:marBottom w:val="0"/>
      <w:divBdr>
        <w:top w:val="none" w:sz="0" w:space="0" w:color="auto"/>
        <w:left w:val="none" w:sz="0" w:space="0" w:color="auto"/>
        <w:bottom w:val="none" w:sz="0" w:space="0" w:color="auto"/>
        <w:right w:val="none" w:sz="0" w:space="0" w:color="auto"/>
      </w:divBdr>
    </w:div>
    <w:div w:id="72053619">
      <w:bodyDiv w:val="1"/>
      <w:marLeft w:val="0"/>
      <w:marRight w:val="0"/>
      <w:marTop w:val="0"/>
      <w:marBottom w:val="0"/>
      <w:divBdr>
        <w:top w:val="none" w:sz="0" w:space="0" w:color="auto"/>
        <w:left w:val="none" w:sz="0" w:space="0" w:color="auto"/>
        <w:bottom w:val="none" w:sz="0" w:space="0" w:color="auto"/>
        <w:right w:val="none" w:sz="0" w:space="0" w:color="auto"/>
      </w:divBdr>
    </w:div>
    <w:div w:id="78406719">
      <w:bodyDiv w:val="1"/>
      <w:marLeft w:val="0"/>
      <w:marRight w:val="0"/>
      <w:marTop w:val="0"/>
      <w:marBottom w:val="0"/>
      <w:divBdr>
        <w:top w:val="none" w:sz="0" w:space="0" w:color="auto"/>
        <w:left w:val="none" w:sz="0" w:space="0" w:color="auto"/>
        <w:bottom w:val="none" w:sz="0" w:space="0" w:color="auto"/>
        <w:right w:val="none" w:sz="0" w:space="0" w:color="auto"/>
      </w:divBdr>
    </w:div>
    <w:div w:id="79373762">
      <w:bodyDiv w:val="1"/>
      <w:marLeft w:val="0"/>
      <w:marRight w:val="0"/>
      <w:marTop w:val="0"/>
      <w:marBottom w:val="0"/>
      <w:divBdr>
        <w:top w:val="none" w:sz="0" w:space="0" w:color="auto"/>
        <w:left w:val="none" w:sz="0" w:space="0" w:color="auto"/>
        <w:bottom w:val="none" w:sz="0" w:space="0" w:color="auto"/>
        <w:right w:val="none" w:sz="0" w:space="0" w:color="auto"/>
      </w:divBdr>
    </w:div>
    <w:div w:id="97677373">
      <w:bodyDiv w:val="1"/>
      <w:marLeft w:val="0"/>
      <w:marRight w:val="0"/>
      <w:marTop w:val="0"/>
      <w:marBottom w:val="0"/>
      <w:divBdr>
        <w:top w:val="none" w:sz="0" w:space="0" w:color="auto"/>
        <w:left w:val="none" w:sz="0" w:space="0" w:color="auto"/>
        <w:bottom w:val="none" w:sz="0" w:space="0" w:color="auto"/>
        <w:right w:val="none" w:sz="0" w:space="0" w:color="auto"/>
      </w:divBdr>
    </w:div>
    <w:div w:id="107283416">
      <w:bodyDiv w:val="1"/>
      <w:marLeft w:val="0"/>
      <w:marRight w:val="0"/>
      <w:marTop w:val="0"/>
      <w:marBottom w:val="0"/>
      <w:divBdr>
        <w:top w:val="none" w:sz="0" w:space="0" w:color="auto"/>
        <w:left w:val="none" w:sz="0" w:space="0" w:color="auto"/>
        <w:bottom w:val="none" w:sz="0" w:space="0" w:color="auto"/>
        <w:right w:val="none" w:sz="0" w:space="0" w:color="auto"/>
      </w:divBdr>
    </w:div>
    <w:div w:id="132449505">
      <w:bodyDiv w:val="1"/>
      <w:marLeft w:val="0"/>
      <w:marRight w:val="0"/>
      <w:marTop w:val="0"/>
      <w:marBottom w:val="0"/>
      <w:divBdr>
        <w:top w:val="none" w:sz="0" w:space="0" w:color="auto"/>
        <w:left w:val="none" w:sz="0" w:space="0" w:color="auto"/>
        <w:bottom w:val="none" w:sz="0" w:space="0" w:color="auto"/>
        <w:right w:val="none" w:sz="0" w:space="0" w:color="auto"/>
      </w:divBdr>
    </w:div>
    <w:div w:id="164173072">
      <w:bodyDiv w:val="1"/>
      <w:marLeft w:val="0"/>
      <w:marRight w:val="0"/>
      <w:marTop w:val="0"/>
      <w:marBottom w:val="0"/>
      <w:divBdr>
        <w:top w:val="none" w:sz="0" w:space="0" w:color="auto"/>
        <w:left w:val="none" w:sz="0" w:space="0" w:color="auto"/>
        <w:bottom w:val="none" w:sz="0" w:space="0" w:color="auto"/>
        <w:right w:val="none" w:sz="0" w:space="0" w:color="auto"/>
      </w:divBdr>
    </w:div>
    <w:div w:id="184901097">
      <w:bodyDiv w:val="1"/>
      <w:marLeft w:val="0"/>
      <w:marRight w:val="0"/>
      <w:marTop w:val="0"/>
      <w:marBottom w:val="0"/>
      <w:divBdr>
        <w:top w:val="none" w:sz="0" w:space="0" w:color="auto"/>
        <w:left w:val="none" w:sz="0" w:space="0" w:color="auto"/>
        <w:bottom w:val="none" w:sz="0" w:space="0" w:color="auto"/>
        <w:right w:val="none" w:sz="0" w:space="0" w:color="auto"/>
      </w:divBdr>
    </w:div>
    <w:div w:id="188764618">
      <w:bodyDiv w:val="1"/>
      <w:marLeft w:val="0"/>
      <w:marRight w:val="0"/>
      <w:marTop w:val="0"/>
      <w:marBottom w:val="0"/>
      <w:divBdr>
        <w:top w:val="none" w:sz="0" w:space="0" w:color="auto"/>
        <w:left w:val="none" w:sz="0" w:space="0" w:color="auto"/>
        <w:bottom w:val="none" w:sz="0" w:space="0" w:color="auto"/>
        <w:right w:val="none" w:sz="0" w:space="0" w:color="auto"/>
      </w:divBdr>
    </w:div>
    <w:div w:id="209847578">
      <w:bodyDiv w:val="1"/>
      <w:marLeft w:val="0"/>
      <w:marRight w:val="0"/>
      <w:marTop w:val="0"/>
      <w:marBottom w:val="0"/>
      <w:divBdr>
        <w:top w:val="none" w:sz="0" w:space="0" w:color="auto"/>
        <w:left w:val="none" w:sz="0" w:space="0" w:color="auto"/>
        <w:bottom w:val="none" w:sz="0" w:space="0" w:color="auto"/>
        <w:right w:val="none" w:sz="0" w:space="0" w:color="auto"/>
      </w:divBdr>
    </w:div>
    <w:div w:id="220600457">
      <w:bodyDiv w:val="1"/>
      <w:marLeft w:val="0"/>
      <w:marRight w:val="0"/>
      <w:marTop w:val="0"/>
      <w:marBottom w:val="0"/>
      <w:divBdr>
        <w:top w:val="none" w:sz="0" w:space="0" w:color="auto"/>
        <w:left w:val="none" w:sz="0" w:space="0" w:color="auto"/>
        <w:bottom w:val="none" w:sz="0" w:space="0" w:color="auto"/>
        <w:right w:val="none" w:sz="0" w:space="0" w:color="auto"/>
      </w:divBdr>
    </w:div>
    <w:div w:id="238485516">
      <w:bodyDiv w:val="1"/>
      <w:marLeft w:val="0"/>
      <w:marRight w:val="0"/>
      <w:marTop w:val="0"/>
      <w:marBottom w:val="0"/>
      <w:divBdr>
        <w:top w:val="none" w:sz="0" w:space="0" w:color="auto"/>
        <w:left w:val="none" w:sz="0" w:space="0" w:color="auto"/>
        <w:bottom w:val="none" w:sz="0" w:space="0" w:color="auto"/>
        <w:right w:val="none" w:sz="0" w:space="0" w:color="auto"/>
      </w:divBdr>
    </w:div>
    <w:div w:id="254216516">
      <w:bodyDiv w:val="1"/>
      <w:marLeft w:val="0"/>
      <w:marRight w:val="0"/>
      <w:marTop w:val="0"/>
      <w:marBottom w:val="0"/>
      <w:divBdr>
        <w:top w:val="none" w:sz="0" w:space="0" w:color="auto"/>
        <w:left w:val="none" w:sz="0" w:space="0" w:color="auto"/>
        <w:bottom w:val="none" w:sz="0" w:space="0" w:color="auto"/>
        <w:right w:val="none" w:sz="0" w:space="0" w:color="auto"/>
      </w:divBdr>
    </w:div>
    <w:div w:id="256061866">
      <w:bodyDiv w:val="1"/>
      <w:marLeft w:val="0"/>
      <w:marRight w:val="0"/>
      <w:marTop w:val="0"/>
      <w:marBottom w:val="0"/>
      <w:divBdr>
        <w:top w:val="none" w:sz="0" w:space="0" w:color="auto"/>
        <w:left w:val="none" w:sz="0" w:space="0" w:color="auto"/>
        <w:bottom w:val="none" w:sz="0" w:space="0" w:color="auto"/>
        <w:right w:val="none" w:sz="0" w:space="0" w:color="auto"/>
      </w:divBdr>
    </w:div>
    <w:div w:id="294066516">
      <w:bodyDiv w:val="1"/>
      <w:marLeft w:val="0"/>
      <w:marRight w:val="0"/>
      <w:marTop w:val="0"/>
      <w:marBottom w:val="0"/>
      <w:divBdr>
        <w:top w:val="none" w:sz="0" w:space="0" w:color="auto"/>
        <w:left w:val="none" w:sz="0" w:space="0" w:color="auto"/>
        <w:bottom w:val="none" w:sz="0" w:space="0" w:color="auto"/>
        <w:right w:val="none" w:sz="0" w:space="0" w:color="auto"/>
      </w:divBdr>
    </w:div>
    <w:div w:id="305934462">
      <w:bodyDiv w:val="1"/>
      <w:marLeft w:val="0"/>
      <w:marRight w:val="0"/>
      <w:marTop w:val="0"/>
      <w:marBottom w:val="0"/>
      <w:divBdr>
        <w:top w:val="none" w:sz="0" w:space="0" w:color="auto"/>
        <w:left w:val="none" w:sz="0" w:space="0" w:color="auto"/>
        <w:bottom w:val="none" w:sz="0" w:space="0" w:color="auto"/>
        <w:right w:val="none" w:sz="0" w:space="0" w:color="auto"/>
      </w:divBdr>
    </w:div>
    <w:div w:id="318383306">
      <w:bodyDiv w:val="1"/>
      <w:marLeft w:val="0"/>
      <w:marRight w:val="0"/>
      <w:marTop w:val="0"/>
      <w:marBottom w:val="0"/>
      <w:divBdr>
        <w:top w:val="none" w:sz="0" w:space="0" w:color="auto"/>
        <w:left w:val="none" w:sz="0" w:space="0" w:color="auto"/>
        <w:bottom w:val="none" w:sz="0" w:space="0" w:color="auto"/>
        <w:right w:val="none" w:sz="0" w:space="0" w:color="auto"/>
      </w:divBdr>
    </w:div>
    <w:div w:id="329019099">
      <w:bodyDiv w:val="1"/>
      <w:marLeft w:val="0"/>
      <w:marRight w:val="0"/>
      <w:marTop w:val="0"/>
      <w:marBottom w:val="0"/>
      <w:divBdr>
        <w:top w:val="none" w:sz="0" w:space="0" w:color="auto"/>
        <w:left w:val="none" w:sz="0" w:space="0" w:color="auto"/>
        <w:bottom w:val="none" w:sz="0" w:space="0" w:color="auto"/>
        <w:right w:val="none" w:sz="0" w:space="0" w:color="auto"/>
      </w:divBdr>
    </w:div>
    <w:div w:id="339282811">
      <w:bodyDiv w:val="1"/>
      <w:marLeft w:val="0"/>
      <w:marRight w:val="0"/>
      <w:marTop w:val="0"/>
      <w:marBottom w:val="0"/>
      <w:divBdr>
        <w:top w:val="none" w:sz="0" w:space="0" w:color="auto"/>
        <w:left w:val="none" w:sz="0" w:space="0" w:color="auto"/>
        <w:bottom w:val="none" w:sz="0" w:space="0" w:color="auto"/>
        <w:right w:val="none" w:sz="0" w:space="0" w:color="auto"/>
      </w:divBdr>
    </w:div>
    <w:div w:id="351762412">
      <w:bodyDiv w:val="1"/>
      <w:marLeft w:val="0"/>
      <w:marRight w:val="0"/>
      <w:marTop w:val="0"/>
      <w:marBottom w:val="0"/>
      <w:divBdr>
        <w:top w:val="none" w:sz="0" w:space="0" w:color="auto"/>
        <w:left w:val="none" w:sz="0" w:space="0" w:color="auto"/>
        <w:bottom w:val="none" w:sz="0" w:space="0" w:color="auto"/>
        <w:right w:val="none" w:sz="0" w:space="0" w:color="auto"/>
      </w:divBdr>
    </w:div>
    <w:div w:id="356934496">
      <w:bodyDiv w:val="1"/>
      <w:marLeft w:val="0"/>
      <w:marRight w:val="0"/>
      <w:marTop w:val="0"/>
      <w:marBottom w:val="0"/>
      <w:divBdr>
        <w:top w:val="none" w:sz="0" w:space="0" w:color="auto"/>
        <w:left w:val="none" w:sz="0" w:space="0" w:color="auto"/>
        <w:bottom w:val="none" w:sz="0" w:space="0" w:color="auto"/>
        <w:right w:val="none" w:sz="0" w:space="0" w:color="auto"/>
      </w:divBdr>
    </w:div>
    <w:div w:id="378093882">
      <w:bodyDiv w:val="1"/>
      <w:marLeft w:val="0"/>
      <w:marRight w:val="0"/>
      <w:marTop w:val="0"/>
      <w:marBottom w:val="0"/>
      <w:divBdr>
        <w:top w:val="none" w:sz="0" w:space="0" w:color="auto"/>
        <w:left w:val="none" w:sz="0" w:space="0" w:color="auto"/>
        <w:bottom w:val="none" w:sz="0" w:space="0" w:color="auto"/>
        <w:right w:val="none" w:sz="0" w:space="0" w:color="auto"/>
      </w:divBdr>
    </w:div>
    <w:div w:id="388505757">
      <w:bodyDiv w:val="1"/>
      <w:marLeft w:val="0"/>
      <w:marRight w:val="0"/>
      <w:marTop w:val="0"/>
      <w:marBottom w:val="0"/>
      <w:divBdr>
        <w:top w:val="none" w:sz="0" w:space="0" w:color="auto"/>
        <w:left w:val="none" w:sz="0" w:space="0" w:color="auto"/>
        <w:bottom w:val="none" w:sz="0" w:space="0" w:color="auto"/>
        <w:right w:val="none" w:sz="0" w:space="0" w:color="auto"/>
      </w:divBdr>
    </w:div>
    <w:div w:id="391662503">
      <w:bodyDiv w:val="1"/>
      <w:marLeft w:val="0"/>
      <w:marRight w:val="0"/>
      <w:marTop w:val="0"/>
      <w:marBottom w:val="0"/>
      <w:divBdr>
        <w:top w:val="none" w:sz="0" w:space="0" w:color="auto"/>
        <w:left w:val="none" w:sz="0" w:space="0" w:color="auto"/>
        <w:bottom w:val="none" w:sz="0" w:space="0" w:color="auto"/>
        <w:right w:val="none" w:sz="0" w:space="0" w:color="auto"/>
      </w:divBdr>
    </w:div>
    <w:div w:id="400837144">
      <w:bodyDiv w:val="1"/>
      <w:marLeft w:val="0"/>
      <w:marRight w:val="0"/>
      <w:marTop w:val="0"/>
      <w:marBottom w:val="0"/>
      <w:divBdr>
        <w:top w:val="none" w:sz="0" w:space="0" w:color="auto"/>
        <w:left w:val="none" w:sz="0" w:space="0" w:color="auto"/>
        <w:bottom w:val="none" w:sz="0" w:space="0" w:color="auto"/>
        <w:right w:val="none" w:sz="0" w:space="0" w:color="auto"/>
      </w:divBdr>
    </w:div>
    <w:div w:id="405955946">
      <w:bodyDiv w:val="1"/>
      <w:marLeft w:val="0"/>
      <w:marRight w:val="0"/>
      <w:marTop w:val="0"/>
      <w:marBottom w:val="0"/>
      <w:divBdr>
        <w:top w:val="none" w:sz="0" w:space="0" w:color="auto"/>
        <w:left w:val="none" w:sz="0" w:space="0" w:color="auto"/>
        <w:bottom w:val="none" w:sz="0" w:space="0" w:color="auto"/>
        <w:right w:val="none" w:sz="0" w:space="0" w:color="auto"/>
      </w:divBdr>
    </w:div>
    <w:div w:id="446389312">
      <w:bodyDiv w:val="1"/>
      <w:marLeft w:val="0"/>
      <w:marRight w:val="0"/>
      <w:marTop w:val="0"/>
      <w:marBottom w:val="0"/>
      <w:divBdr>
        <w:top w:val="none" w:sz="0" w:space="0" w:color="auto"/>
        <w:left w:val="none" w:sz="0" w:space="0" w:color="auto"/>
        <w:bottom w:val="none" w:sz="0" w:space="0" w:color="auto"/>
        <w:right w:val="none" w:sz="0" w:space="0" w:color="auto"/>
      </w:divBdr>
    </w:div>
    <w:div w:id="453404044">
      <w:bodyDiv w:val="1"/>
      <w:marLeft w:val="0"/>
      <w:marRight w:val="0"/>
      <w:marTop w:val="0"/>
      <w:marBottom w:val="0"/>
      <w:divBdr>
        <w:top w:val="none" w:sz="0" w:space="0" w:color="auto"/>
        <w:left w:val="none" w:sz="0" w:space="0" w:color="auto"/>
        <w:bottom w:val="none" w:sz="0" w:space="0" w:color="auto"/>
        <w:right w:val="none" w:sz="0" w:space="0" w:color="auto"/>
      </w:divBdr>
    </w:div>
    <w:div w:id="456799467">
      <w:bodyDiv w:val="1"/>
      <w:marLeft w:val="0"/>
      <w:marRight w:val="0"/>
      <w:marTop w:val="0"/>
      <w:marBottom w:val="0"/>
      <w:divBdr>
        <w:top w:val="none" w:sz="0" w:space="0" w:color="auto"/>
        <w:left w:val="none" w:sz="0" w:space="0" w:color="auto"/>
        <w:bottom w:val="none" w:sz="0" w:space="0" w:color="auto"/>
        <w:right w:val="none" w:sz="0" w:space="0" w:color="auto"/>
      </w:divBdr>
    </w:div>
    <w:div w:id="457840279">
      <w:bodyDiv w:val="1"/>
      <w:marLeft w:val="0"/>
      <w:marRight w:val="0"/>
      <w:marTop w:val="0"/>
      <w:marBottom w:val="0"/>
      <w:divBdr>
        <w:top w:val="none" w:sz="0" w:space="0" w:color="auto"/>
        <w:left w:val="none" w:sz="0" w:space="0" w:color="auto"/>
        <w:bottom w:val="none" w:sz="0" w:space="0" w:color="auto"/>
        <w:right w:val="none" w:sz="0" w:space="0" w:color="auto"/>
      </w:divBdr>
    </w:div>
    <w:div w:id="459424903">
      <w:bodyDiv w:val="1"/>
      <w:marLeft w:val="0"/>
      <w:marRight w:val="0"/>
      <w:marTop w:val="0"/>
      <w:marBottom w:val="0"/>
      <w:divBdr>
        <w:top w:val="none" w:sz="0" w:space="0" w:color="auto"/>
        <w:left w:val="none" w:sz="0" w:space="0" w:color="auto"/>
        <w:bottom w:val="none" w:sz="0" w:space="0" w:color="auto"/>
        <w:right w:val="none" w:sz="0" w:space="0" w:color="auto"/>
      </w:divBdr>
    </w:div>
    <w:div w:id="462621899">
      <w:bodyDiv w:val="1"/>
      <w:marLeft w:val="0"/>
      <w:marRight w:val="0"/>
      <w:marTop w:val="0"/>
      <w:marBottom w:val="0"/>
      <w:divBdr>
        <w:top w:val="none" w:sz="0" w:space="0" w:color="auto"/>
        <w:left w:val="none" w:sz="0" w:space="0" w:color="auto"/>
        <w:bottom w:val="none" w:sz="0" w:space="0" w:color="auto"/>
        <w:right w:val="none" w:sz="0" w:space="0" w:color="auto"/>
      </w:divBdr>
    </w:div>
    <w:div w:id="465313721">
      <w:bodyDiv w:val="1"/>
      <w:marLeft w:val="0"/>
      <w:marRight w:val="0"/>
      <w:marTop w:val="0"/>
      <w:marBottom w:val="0"/>
      <w:divBdr>
        <w:top w:val="none" w:sz="0" w:space="0" w:color="auto"/>
        <w:left w:val="none" w:sz="0" w:space="0" w:color="auto"/>
        <w:bottom w:val="none" w:sz="0" w:space="0" w:color="auto"/>
        <w:right w:val="none" w:sz="0" w:space="0" w:color="auto"/>
      </w:divBdr>
    </w:div>
    <w:div w:id="481115986">
      <w:bodyDiv w:val="1"/>
      <w:marLeft w:val="0"/>
      <w:marRight w:val="0"/>
      <w:marTop w:val="0"/>
      <w:marBottom w:val="0"/>
      <w:divBdr>
        <w:top w:val="none" w:sz="0" w:space="0" w:color="auto"/>
        <w:left w:val="none" w:sz="0" w:space="0" w:color="auto"/>
        <w:bottom w:val="none" w:sz="0" w:space="0" w:color="auto"/>
        <w:right w:val="none" w:sz="0" w:space="0" w:color="auto"/>
      </w:divBdr>
    </w:div>
    <w:div w:id="482088434">
      <w:bodyDiv w:val="1"/>
      <w:marLeft w:val="0"/>
      <w:marRight w:val="0"/>
      <w:marTop w:val="0"/>
      <w:marBottom w:val="0"/>
      <w:divBdr>
        <w:top w:val="none" w:sz="0" w:space="0" w:color="auto"/>
        <w:left w:val="none" w:sz="0" w:space="0" w:color="auto"/>
        <w:bottom w:val="none" w:sz="0" w:space="0" w:color="auto"/>
        <w:right w:val="none" w:sz="0" w:space="0" w:color="auto"/>
      </w:divBdr>
    </w:div>
    <w:div w:id="492911643">
      <w:bodyDiv w:val="1"/>
      <w:marLeft w:val="0"/>
      <w:marRight w:val="0"/>
      <w:marTop w:val="0"/>
      <w:marBottom w:val="0"/>
      <w:divBdr>
        <w:top w:val="none" w:sz="0" w:space="0" w:color="auto"/>
        <w:left w:val="none" w:sz="0" w:space="0" w:color="auto"/>
        <w:bottom w:val="none" w:sz="0" w:space="0" w:color="auto"/>
        <w:right w:val="none" w:sz="0" w:space="0" w:color="auto"/>
      </w:divBdr>
    </w:div>
    <w:div w:id="494153822">
      <w:bodyDiv w:val="1"/>
      <w:marLeft w:val="0"/>
      <w:marRight w:val="0"/>
      <w:marTop w:val="0"/>
      <w:marBottom w:val="0"/>
      <w:divBdr>
        <w:top w:val="none" w:sz="0" w:space="0" w:color="auto"/>
        <w:left w:val="none" w:sz="0" w:space="0" w:color="auto"/>
        <w:bottom w:val="none" w:sz="0" w:space="0" w:color="auto"/>
        <w:right w:val="none" w:sz="0" w:space="0" w:color="auto"/>
      </w:divBdr>
    </w:div>
    <w:div w:id="506529588">
      <w:bodyDiv w:val="1"/>
      <w:marLeft w:val="0"/>
      <w:marRight w:val="0"/>
      <w:marTop w:val="0"/>
      <w:marBottom w:val="0"/>
      <w:divBdr>
        <w:top w:val="none" w:sz="0" w:space="0" w:color="auto"/>
        <w:left w:val="none" w:sz="0" w:space="0" w:color="auto"/>
        <w:bottom w:val="none" w:sz="0" w:space="0" w:color="auto"/>
        <w:right w:val="none" w:sz="0" w:space="0" w:color="auto"/>
      </w:divBdr>
    </w:div>
    <w:div w:id="507989932">
      <w:bodyDiv w:val="1"/>
      <w:marLeft w:val="0"/>
      <w:marRight w:val="0"/>
      <w:marTop w:val="0"/>
      <w:marBottom w:val="0"/>
      <w:divBdr>
        <w:top w:val="none" w:sz="0" w:space="0" w:color="auto"/>
        <w:left w:val="none" w:sz="0" w:space="0" w:color="auto"/>
        <w:bottom w:val="none" w:sz="0" w:space="0" w:color="auto"/>
        <w:right w:val="none" w:sz="0" w:space="0" w:color="auto"/>
      </w:divBdr>
    </w:div>
    <w:div w:id="510025838">
      <w:bodyDiv w:val="1"/>
      <w:marLeft w:val="0"/>
      <w:marRight w:val="0"/>
      <w:marTop w:val="0"/>
      <w:marBottom w:val="0"/>
      <w:divBdr>
        <w:top w:val="none" w:sz="0" w:space="0" w:color="auto"/>
        <w:left w:val="none" w:sz="0" w:space="0" w:color="auto"/>
        <w:bottom w:val="none" w:sz="0" w:space="0" w:color="auto"/>
        <w:right w:val="none" w:sz="0" w:space="0" w:color="auto"/>
      </w:divBdr>
    </w:div>
    <w:div w:id="517737497">
      <w:bodyDiv w:val="1"/>
      <w:marLeft w:val="0"/>
      <w:marRight w:val="0"/>
      <w:marTop w:val="0"/>
      <w:marBottom w:val="0"/>
      <w:divBdr>
        <w:top w:val="none" w:sz="0" w:space="0" w:color="auto"/>
        <w:left w:val="none" w:sz="0" w:space="0" w:color="auto"/>
        <w:bottom w:val="none" w:sz="0" w:space="0" w:color="auto"/>
        <w:right w:val="none" w:sz="0" w:space="0" w:color="auto"/>
      </w:divBdr>
    </w:div>
    <w:div w:id="578488618">
      <w:bodyDiv w:val="1"/>
      <w:marLeft w:val="0"/>
      <w:marRight w:val="0"/>
      <w:marTop w:val="0"/>
      <w:marBottom w:val="0"/>
      <w:divBdr>
        <w:top w:val="none" w:sz="0" w:space="0" w:color="auto"/>
        <w:left w:val="none" w:sz="0" w:space="0" w:color="auto"/>
        <w:bottom w:val="none" w:sz="0" w:space="0" w:color="auto"/>
        <w:right w:val="none" w:sz="0" w:space="0" w:color="auto"/>
      </w:divBdr>
    </w:div>
    <w:div w:id="579948742">
      <w:bodyDiv w:val="1"/>
      <w:marLeft w:val="0"/>
      <w:marRight w:val="0"/>
      <w:marTop w:val="0"/>
      <w:marBottom w:val="0"/>
      <w:divBdr>
        <w:top w:val="none" w:sz="0" w:space="0" w:color="auto"/>
        <w:left w:val="none" w:sz="0" w:space="0" w:color="auto"/>
        <w:bottom w:val="none" w:sz="0" w:space="0" w:color="auto"/>
        <w:right w:val="none" w:sz="0" w:space="0" w:color="auto"/>
      </w:divBdr>
    </w:div>
    <w:div w:id="595946598">
      <w:bodyDiv w:val="1"/>
      <w:marLeft w:val="0"/>
      <w:marRight w:val="0"/>
      <w:marTop w:val="0"/>
      <w:marBottom w:val="0"/>
      <w:divBdr>
        <w:top w:val="none" w:sz="0" w:space="0" w:color="auto"/>
        <w:left w:val="none" w:sz="0" w:space="0" w:color="auto"/>
        <w:bottom w:val="none" w:sz="0" w:space="0" w:color="auto"/>
        <w:right w:val="none" w:sz="0" w:space="0" w:color="auto"/>
      </w:divBdr>
    </w:div>
    <w:div w:id="607856471">
      <w:bodyDiv w:val="1"/>
      <w:marLeft w:val="0"/>
      <w:marRight w:val="0"/>
      <w:marTop w:val="0"/>
      <w:marBottom w:val="0"/>
      <w:divBdr>
        <w:top w:val="none" w:sz="0" w:space="0" w:color="auto"/>
        <w:left w:val="none" w:sz="0" w:space="0" w:color="auto"/>
        <w:bottom w:val="none" w:sz="0" w:space="0" w:color="auto"/>
        <w:right w:val="none" w:sz="0" w:space="0" w:color="auto"/>
      </w:divBdr>
    </w:div>
    <w:div w:id="652225459">
      <w:bodyDiv w:val="1"/>
      <w:marLeft w:val="0"/>
      <w:marRight w:val="0"/>
      <w:marTop w:val="0"/>
      <w:marBottom w:val="0"/>
      <w:divBdr>
        <w:top w:val="none" w:sz="0" w:space="0" w:color="auto"/>
        <w:left w:val="none" w:sz="0" w:space="0" w:color="auto"/>
        <w:bottom w:val="none" w:sz="0" w:space="0" w:color="auto"/>
        <w:right w:val="none" w:sz="0" w:space="0" w:color="auto"/>
      </w:divBdr>
    </w:div>
    <w:div w:id="674038649">
      <w:bodyDiv w:val="1"/>
      <w:marLeft w:val="0"/>
      <w:marRight w:val="0"/>
      <w:marTop w:val="0"/>
      <w:marBottom w:val="0"/>
      <w:divBdr>
        <w:top w:val="none" w:sz="0" w:space="0" w:color="auto"/>
        <w:left w:val="none" w:sz="0" w:space="0" w:color="auto"/>
        <w:bottom w:val="none" w:sz="0" w:space="0" w:color="auto"/>
        <w:right w:val="none" w:sz="0" w:space="0" w:color="auto"/>
      </w:divBdr>
    </w:div>
    <w:div w:id="700132455">
      <w:bodyDiv w:val="1"/>
      <w:marLeft w:val="0"/>
      <w:marRight w:val="0"/>
      <w:marTop w:val="0"/>
      <w:marBottom w:val="0"/>
      <w:divBdr>
        <w:top w:val="none" w:sz="0" w:space="0" w:color="auto"/>
        <w:left w:val="none" w:sz="0" w:space="0" w:color="auto"/>
        <w:bottom w:val="none" w:sz="0" w:space="0" w:color="auto"/>
        <w:right w:val="none" w:sz="0" w:space="0" w:color="auto"/>
      </w:divBdr>
    </w:div>
    <w:div w:id="707880878">
      <w:bodyDiv w:val="1"/>
      <w:marLeft w:val="0"/>
      <w:marRight w:val="0"/>
      <w:marTop w:val="0"/>
      <w:marBottom w:val="0"/>
      <w:divBdr>
        <w:top w:val="none" w:sz="0" w:space="0" w:color="auto"/>
        <w:left w:val="none" w:sz="0" w:space="0" w:color="auto"/>
        <w:bottom w:val="none" w:sz="0" w:space="0" w:color="auto"/>
        <w:right w:val="none" w:sz="0" w:space="0" w:color="auto"/>
      </w:divBdr>
    </w:div>
    <w:div w:id="746001695">
      <w:bodyDiv w:val="1"/>
      <w:marLeft w:val="0"/>
      <w:marRight w:val="0"/>
      <w:marTop w:val="0"/>
      <w:marBottom w:val="0"/>
      <w:divBdr>
        <w:top w:val="none" w:sz="0" w:space="0" w:color="auto"/>
        <w:left w:val="none" w:sz="0" w:space="0" w:color="auto"/>
        <w:bottom w:val="none" w:sz="0" w:space="0" w:color="auto"/>
        <w:right w:val="none" w:sz="0" w:space="0" w:color="auto"/>
      </w:divBdr>
    </w:div>
    <w:div w:id="746995810">
      <w:bodyDiv w:val="1"/>
      <w:marLeft w:val="0"/>
      <w:marRight w:val="0"/>
      <w:marTop w:val="0"/>
      <w:marBottom w:val="0"/>
      <w:divBdr>
        <w:top w:val="none" w:sz="0" w:space="0" w:color="auto"/>
        <w:left w:val="none" w:sz="0" w:space="0" w:color="auto"/>
        <w:bottom w:val="none" w:sz="0" w:space="0" w:color="auto"/>
        <w:right w:val="none" w:sz="0" w:space="0" w:color="auto"/>
      </w:divBdr>
    </w:div>
    <w:div w:id="753287060">
      <w:bodyDiv w:val="1"/>
      <w:marLeft w:val="0"/>
      <w:marRight w:val="0"/>
      <w:marTop w:val="0"/>
      <w:marBottom w:val="0"/>
      <w:divBdr>
        <w:top w:val="none" w:sz="0" w:space="0" w:color="auto"/>
        <w:left w:val="none" w:sz="0" w:space="0" w:color="auto"/>
        <w:bottom w:val="none" w:sz="0" w:space="0" w:color="auto"/>
        <w:right w:val="none" w:sz="0" w:space="0" w:color="auto"/>
      </w:divBdr>
    </w:div>
    <w:div w:id="755907401">
      <w:bodyDiv w:val="1"/>
      <w:marLeft w:val="0"/>
      <w:marRight w:val="0"/>
      <w:marTop w:val="0"/>
      <w:marBottom w:val="0"/>
      <w:divBdr>
        <w:top w:val="none" w:sz="0" w:space="0" w:color="auto"/>
        <w:left w:val="none" w:sz="0" w:space="0" w:color="auto"/>
        <w:bottom w:val="none" w:sz="0" w:space="0" w:color="auto"/>
        <w:right w:val="none" w:sz="0" w:space="0" w:color="auto"/>
      </w:divBdr>
    </w:div>
    <w:div w:id="766653659">
      <w:bodyDiv w:val="1"/>
      <w:marLeft w:val="0"/>
      <w:marRight w:val="0"/>
      <w:marTop w:val="0"/>
      <w:marBottom w:val="0"/>
      <w:divBdr>
        <w:top w:val="none" w:sz="0" w:space="0" w:color="auto"/>
        <w:left w:val="none" w:sz="0" w:space="0" w:color="auto"/>
        <w:bottom w:val="none" w:sz="0" w:space="0" w:color="auto"/>
        <w:right w:val="none" w:sz="0" w:space="0" w:color="auto"/>
      </w:divBdr>
    </w:div>
    <w:div w:id="768618810">
      <w:bodyDiv w:val="1"/>
      <w:marLeft w:val="0"/>
      <w:marRight w:val="0"/>
      <w:marTop w:val="0"/>
      <w:marBottom w:val="0"/>
      <w:divBdr>
        <w:top w:val="none" w:sz="0" w:space="0" w:color="auto"/>
        <w:left w:val="none" w:sz="0" w:space="0" w:color="auto"/>
        <w:bottom w:val="none" w:sz="0" w:space="0" w:color="auto"/>
        <w:right w:val="none" w:sz="0" w:space="0" w:color="auto"/>
      </w:divBdr>
    </w:div>
    <w:div w:id="771441624">
      <w:bodyDiv w:val="1"/>
      <w:marLeft w:val="0"/>
      <w:marRight w:val="0"/>
      <w:marTop w:val="0"/>
      <w:marBottom w:val="0"/>
      <w:divBdr>
        <w:top w:val="none" w:sz="0" w:space="0" w:color="auto"/>
        <w:left w:val="none" w:sz="0" w:space="0" w:color="auto"/>
        <w:bottom w:val="none" w:sz="0" w:space="0" w:color="auto"/>
        <w:right w:val="none" w:sz="0" w:space="0" w:color="auto"/>
      </w:divBdr>
    </w:div>
    <w:div w:id="793063114">
      <w:bodyDiv w:val="1"/>
      <w:marLeft w:val="0"/>
      <w:marRight w:val="0"/>
      <w:marTop w:val="0"/>
      <w:marBottom w:val="0"/>
      <w:divBdr>
        <w:top w:val="none" w:sz="0" w:space="0" w:color="auto"/>
        <w:left w:val="none" w:sz="0" w:space="0" w:color="auto"/>
        <w:bottom w:val="none" w:sz="0" w:space="0" w:color="auto"/>
        <w:right w:val="none" w:sz="0" w:space="0" w:color="auto"/>
      </w:divBdr>
    </w:div>
    <w:div w:id="817309064">
      <w:bodyDiv w:val="1"/>
      <w:marLeft w:val="0"/>
      <w:marRight w:val="0"/>
      <w:marTop w:val="0"/>
      <w:marBottom w:val="0"/>
      <w:divBdr>
        <w:top w:val="none" w:sz="0" w:space="0" w:color="auto"/>
        <w:left w:val="none" w:sz="0" w:space="0" w:color="auto"/>
        <w:bottom w:val="none" w:sz="0" w:space="0" w:color="auto"/>
        <w:right w:val="none" w:sz="0" w:space="0" w:color="auto"/>
      </w:divBdr>
    </w:div>
    <w:div w:id="821386379">
      <w:bodyDiv w:val="1"/>
      <w:marLeft w:val="0"/>
      <w:marRight w:val="0"/>
      <w:marTop w:val="0"/>
      <w:marBottom w:val="0"/>
      <w:divBdr>
        <w:top w:val="none" w:sz="0" w:space="0" w:color="auto"/>
        <w:left w:val="none" w:sz="0" w:space="0" w:color="auto"/>
        <w:bottom w:val="none" w:sz="0" w:space="0" w:color="auto"/>
        <w:right w:val="none" w:sz="0" w:space="0" w:color="auto"/>
      </w:divBdr>
    </w:div>
    <w:div w:id="824249006">
      <w:bodyDiv w:val="1"/>
      <w:marLeft w:val="0"/>
      <w:marRight w:val="0"/>
      <w:marTop w:val="0"/>
      <w:marBottom w:val="0"/>
      <w:divBdr>
        <w:top w:val="none" w:sz="0" w:space="0" w:color="auto"/>
        <w:left w:val="none" w:sz="0" w:space="0" w:color="auto"/>
        <w:bottom w:val="none" w:sz="0" w:space="0" w:color="auto"/>
        <w:right w:val="none" w:sz="0" w:space="0" w:color="auto"/>
      </w:divBdr>
    </w:div>
    <w:div w:id="829096859">
      <w:bodyDiv w:val="1"/>
      <w:marLeft w:val="0"/>
      <w:marRight w:val="0"/>
      <w:marTop w:val="0"/>
      <w:marBottom w:val="0"/>
      <w:divBdr>
        <w:top w:val="none" w:sz="0" w:space="0" w:color="auto"/>
        <w:left w:val="none" w:sz="0" w:space="0" w:color="auto"/>
        <w:bottom w:val="none" w:sz="0" w:space="0" w:color="auto"/>
        <w:right w:val="none" w:sz="0" w:space="0" w:color="auto"/>
      </w:divBdr>
    </w:div>
    <w:div w:id="837816139">
      <w:bodyDiv w:val="1"/>
      <w:marLeft w:val="0"/>
      <w:marRight w:val="0"/>
      <w:marTop w:val="0"/>
      <w:marBottom w:val="0"/>
      <w:divBdr>
        <w:top w:val="none" w:sz="0" w:space="0" w:color="auto"/>
        <w:left w:val="none" w:sz="0" w:space="0" w:color="auto"/>
        <w:bottom w:val="none" w:sz="0" w:space="0" w:color="auto"/>
        <w:right w:val="none" w:sz="0" w:space="0" w:color="auto"/>
      </w:divBdr>
    </w:div>
    <w:div w:id="889535240">
      <w:bodyDiv w:val="1"/>
      <w:marLeft w:val="0"/>
      <w:marRight w:val="0"/>
      <w:marTop w:val="0"/>
      <w:marBottom w:val="0"/>
      <w:divBdr>
        <w:top w:val="none" w:sz="0" w:space="0" w:color="auto"/>
        <w:left w:val="none" w:sz="0" w:space="0" w:color="auto"/>
        <w:bottom w:val="none" w:sz="0" w:space="0" w:color="auto"/>
        <w:right w:val="none" w:sz="0" w:space="0" w:color="auto"/>
      </w:divBdr>
    </w:div>
    <w:div w:id="900485034">
      <w:bodyDiv w:val="1"/>
      <w:marLeft w:val="0"/>
      <w:marRight w:val="0"/>
      <w:marTop w:val="0"/>
      <w:marBottom w:val="0"/>
      <w:divBdr>
        <w:top w:val="none" w:sz="0" w:space="0" w:color="auto"/>
        <w:left w:val="none" w:sz="0" w:space="0" w:color="auto"/>
        <w:bottom w:val="none" w:sz="0" w:space="0" w:color="auto"/>
        <w:right w:val="none" w:sz="0" w:space="0" w:color="auto"/>
      </w:divBdr>
    </w:div>
    <w:div w:id="916283814">
      <w:bodyDiv w:val="1"/>
      <w:marLeft w:val="0"/>
      <w:marRight w:val="0"/>
      <w:marTop w:val="0"/>
      <w:marBottom w:val="0"/>
      <w:divBdr>
        <w:top w:val="none" w:sz="0" w:space="0" w:color="auto"/>
        <w:left w:val="none" w:sz="0" w:space="0" w:color="auto"/>
        <w:bottom w:val="none" w:sz="0" w:space="0" w:color="auto"/>
        <w:right w:val="none" w:sz="0" w:space="0" w:color="auto"/>
      </w:divBdr>
    </w:div>
    <w:div w:id="919169918">
      <w:bodyDiv w:val="1"/>
      <w:marLeft w:val="0"/>
      <w:marRight w:val="0"/>
      <w:marTop w:val="0"/>
      <w:marBottom w:val="0"/>
      <w:divBdr>
        <w:top w:val="none" w:sz="0" w:space="0" w:color="auto"/>
        <w:left w:val="none" w:sz="0" w:space="0" w:color="auto"/>
        <w:bottom w:val="none" w:sz="0" w:space="0" w:color="auto"/>
        <w:right w:val="none" w:sz="0" w:space="0" w:color="auto"/>
      </w:divBdr>
    </w:div>
    <w:div w:id="931353108">
      <w:bodyDiv w:val="1"/>
      <w:marLeft w:val="0"/>
      <w:marRight w:val="0"/>
      <w:marTop w:val="0"/>
      <w:marBottom w:val="0"/>
      <w:divBdr>
        <w:top w:val="none" w:sz="0" w:space="0" w:color="auto"/>
        <w:left w:val="none" w:sz="0" w:space="0" w:color="auto"/>
        <w:bottom w:val="none" w:sz="0" w:space="0" w:color="auto"/>
        <w:right w:val="none" w:sz="0" w:space="0" w:color="auto"/>
      </w:divBdr>
    </w:div>
    <w:div w:id="946890292">
      <w:bodyDiv w:val="1"/>
      <w:marLeft w:val="0"/>
      <w:marRight w:val="0"/>
      <w:marTop w:val="0"/>
      <w:marBottom w:val="0"/>
      <w:divBdr>
        <w:top w:val="none" w:sz="0" w:space="0" w:color="auto"/>
        <w:left w:val="none" w:sz="0" w:space="0" w:color="auto"/>
        <w:bottom w:val="none" w:sz="0" w:space="0" w:color="auto"/>
        <w:right w:val="none" w:sz="0" w:space="0" w:color="auto"/>
      </w:divBdr>
    </w:div>
    <w:div w:id="967392053">
      <w:bodyDiv w:val="1"/>
      <w:marLeft w:val="0"/>
      <w:marRight w:val="0"/>
      <w:marTop w:val="0"/>
      <w:marBottom w:val="0"/>
      <w:divBdr>
        <w:top w:val="none" w:sz="0" w:space="0" w:color="auto"/>
        <w:left w:val="none" w:sz="0" w:space="0" w:color="auto"/>
        <w:bottom w:val="none" w:sz="0" w:space="0" w:color="auto"/>
        <w:right w:val="none" w:sz="0" w:space="0" w:color="auto"/>
      </w:divBdr>
    </w:div>
    <w:div w:id="979697738">
      <w:bodyDiv w:val="1"/>
      <w:marLeft w:val="0"/>
      <w:marRight w:val="0"/>
      <w:marTop w:val="0"/>
      <w:marBottom w:val="0"/>
      <w:divBdr>
        <w:top w:val="none" w:sz="0" w:space="0" w:color="auto"/>
        <w:left w:val="none" w:sz="0" w:space="0" w:color="auto"/>
        <w:bottom w:val="none" w:sz="0" w:space="0" w:color="auto"/>
        <w:right w:val="none" w:sz="0" w:space="0" w:color="auto"/>
      </w:divBdr>
    </w:div>
    <w:div w:id="994799962">
      <w:bodyDiv w:val="1"/>
      <w:marLeft w:val="0"/>
      <w:marRight w:val="0"/>
      <w:marTop w:val="0"/>
      <w:marBottom w:val="0"/>
      <w:divBdr>
        <w:top w:val="none" w:sz="0" w:space="0" w:color="auto"/>
        <w:left w:val="none" w:sz="0" w:space="0" w:color="auto"/>
        <w:bottom w:val="none" w:sz="0" w:space="0" w:color="auto"/>
        <w:right w:val="none" w:sz="0" w:space="0" w:color="auto"/>
      </w:divBdr>
    </w:div>
    <w:div w:id="996572736">
      <w:bodyDiv w:val="1"/>
      <w:marLeft w:val="0"/>
      <w:marRight w:val="0"/>
      <w:marTop w:val="0"/>
      <w:marBottom w:val="0"/>
      <w:divBdr>
        <w:top w:val="none" w:sz="0" w:space="0" w:color="auto"/>
        <w:left w:val="none" w:sz="0" w:space="0" w:color="auto"/>
        <w:bottom w:val="none" w:sz="0" w:space="0" w:color="auto"/>
        <w:right w:val="none" w:sz="0" w:space="0" w:color="auto"/>
      </w:divBdr>
    </w:div>
    <w:div w:id="1000233386">
      <w:bodyDiv w:val="1"/>
      <w:marLeft w:val="0"/>
      <w:marRight w:val="0"/>
      <w:marTop w:val="0"/>
      <w:marBottom w:val="0"/>
      <w:divBdr>
        <w:top w:val="none" w:sz="0" w:space="0" w:color="auto"/>
        <w:left w:val="none" w:sz="0" w:space="0" w:color="auto"/>
        <w:bottom w:val="none" w:sz="0" w:space="0" w:color="auto"/>
        <w:right w:val="none" w:sz="0" w:space="0" w:color="auto"/>
      </w:divBdr>
    </w:div>
    <w:div w:id="1022974433">
      <w:bodyDiv w:val="1"/>
      <w:marLeft w:val="0"/>
      <w:marRight w:val="0"/>
      <w:marTop w:val="0"/>
      <w:marBottom w:val="0"/>
      <w:divBdr>
        <w:top w:val="none" w:sz="0" w:space="0" w:color="auto"/>
        <w:left w:val="none" w:sz="0" w:space="0" w:color="auto"/>
        <w:bottom w:val="none" w:sz="0" w:space="0" w:color="auto"/>
        <w:right w:val="none" w:sz="0" w:space="0" w:color="auto"/>
      </w:divBdr>
    </w:div>
    <w:div w:id="1045518479">
      <w:bodyDiv w:val="1"/>
      <w:marLeft w:val="0"/>
      <w:marRight w:val="0"/>
      <w:marTop w:val="0"/>
      <w:marBottom w:val="0"/>
      <w:divBdr>
        <w:top w:val="none" w:sz="0" w:space="0" w:color="auto"/>
        <w:left w:val="none" w:sz="0" w:space="0" w:color="auto"/>
        <w:bottom w:val="none" w:sz="0" w:space="0" w:color="auto"/>
        <w:right w:val="none" w:sz="0" w:space="0" w:color="auto"/>
      </w:divBdr>
    </w:div>
    <w:div w:id="1056661989">
      <w:bodyDiv w:val="1"/>
      <w:marLeft w:val="0"/>
      <w:marRight w:val="0"/>
      <w:marTop w:val="0"/>
      <w:marBottom w:val="0"/>
      <w:divBdr>
        <w:top w:val="none" w:sz="0" w:space="0" w:color="auto"/>
        <w:left w:val="none" w:sz="0" w:space="0" w:color="auto"/>
        <w:bottom w:val="none" w:sz="0" w:space="0" w:color="auto"/>
        <w:right w:val="none" w:sz="0" w:space="0" w:color="auto"/>
      </w:divBdr>
    </w:div>
    <w:div w:id="1060251134">
      <w:bodyDiv w:val="1"/>
      <w:marLeft w:val="0"/>
      <w:marRight w:val="0"/>
      <w:marTop w:val="0"/>
      <w:marBottom w:val="0"/>
      <w:divBdr>
        <w:top w:val="none" w:sz="0" w:space="0" w:color="auto"/>
        <w:left w:val="none" w:sz="0" w:space="0" w:color="auto"/>
        <w:bottom w:val="none" w:sz="0" w:space="0" w:color="auto"/>
        <w:right w:val="none" w:sz="0" w:space="0" w:color="auto"/>
      </w:divBdr>
    </w:div>
    <w:div w:id="1066030160">
      <w:bodyDiv w:val="1"/>
      <w:marLeft w:val="0"/>
      <w:marRight w:val="0"/>
      <w:marTop w:val="0"/>
      <w:marBottom w:val="0"/>
      <w:divBdr>
        <w:top w:val="none" w:sz="0" w:space="0" w:color="auto"/>
        <w:left w:val="none" w:sz="0" w:space="0" w:color="auto"/>
        <w:bottom w:val="none" w:sz="0" w:space="0" w:color="auto"/>
        <w:right w:val="none" w:sz="0" w:space="0" w:color="auto"/>
      </w:divBdr>
    </w:div>
    <w:div w:id="1071662763">
      <w:bodyDiv w:val="1"/>
      <w:marLeft w:val="0"/>
      <w:marRight w:val="0"/>
      <w:marTop w:val="0"/>
      <w:marBottom w:val="0"/>
      <w:divBdr>
        <w:top w:val="none" w:sz="0" w:space="0" w:color="auto"/>
        <w:left w:val="none" w:sz="0" w:space="0" w:color="auto"/>
        <w:bottom w:val="none" w:sz="0" w:space="0" w:color="auto"/>
        <w:right w:val="none" w:sz="0" w:space="0" w:color="auto"/>
      </w:divBdr>
    </w:div>
    <w:div w:id="1099644422">
      <w:bodyDiv w:val="1"/>
      <w:marLeft w:val="0"/>
      <w:marRight w:val="0"/>
      <w:marTop w:val="0"/>
      <w:marBottom w:val="0"/>
      <w:divBdr>
        <w:top w:val="none" w:sz="0" w:space="0" w:color="auto"/>
        <w:left w:val="none" w:sz="0" w:space="0" w:color="auto"/>
        <w:bottom w:val="none" w:sz="0" w:space="0" w:color="auto"/>
        <w:right w:val="none" w:sz="0" w:space="0" w:color="auto"/>
      </w:divBdr>
    </w:div>
    <w:div w:id="1106928521">
      <w:bodyDiv w:val="1"/>
      <w:marLeft w:val="0"/>
      <w:marRight w:val="0"/>
      <w:marTop w:val="0"/>
      <w:marBottom w:val="0"/>
      <w:divBdr>
        <w:top w:val="none" w:sz="0" w:space="0" w:color="auto"/>
        <w:left w:val="none" w:sz="0" w:space="0" w:color="auto"/>
        <w:bottom w:val="none" w:sz="0" w:space="0" w:color="auto"/>
        <w:right w:val="none" w:sz="0" w:space="0" w:color="auto"/>
      </w:divBdr>
    </w:div>
    <w:div w:id="1122111260">
      <w:bodyDiv w:val="1"/>
      <w:marLeft w:val="0"/>
      <w:marRight w:val="0"/>
      <w:marTop w:val="0"/>
      <w:marBottom w:val="0"/>
      <w:divBdr>
        <w:top w:val="none" w:sz="0" w:space="0" w:color="auto"/>
        <w:left w:val="none" w:sz="0" w:space="0" w:color="auto"/>
        <w:bottom w:val="none" w:sz="0" w:space="0" w:color="auto"/>
        <w:right w:val="none" w:sz="0" w:space="0" w:color="auto"/>
      </w:divBdr>
    </w:div>
    <w:div w:id="1134372948">
      <w:bodyDiv w:val="1"/>
      <w:marLeft w:val="0"/>
      <w:marRight w:val="0"/>
      <w:marTop w:val="0"/>
      <w:marBottom w:val="0"/>
      <w:divBdr>
        <w:top w:val="none" w:sz="0" w:space="0" w:color="auto"/>
        <w:left w:val="none" w:sz="0" w:space="0" w:color="auto"/>
        <w:bottom w:val="none" w:sz="0" w:space="0" w:color="auto"/>
        <w:right w:val="none" w:sz="0" w:space="0" w:color="auto"/>
      </w:divBdr>
    </w:div>
    <w:div w:id="1135103656">
      <w:bodyDiv w:val="1"/>
      <w:marLeft w:val="0"/>
      <w:marRight w:val="0"/>
      <w:marTop w:val="0"/>
      <w:marBottom w:val="0"/>
      <w:divBdr>
        <w:top w:val="none" w:sz="0" w:space="0" w:color="auto"/>
        <w:left w:val="none" w:sz="0" w:space="0" w:color="auto"/>
        <w:bottom w:val="none" w:sz="0" w:space="0" w:color="auto"/>
        <w:right w:val="none" w:sz="0" w:space="0" w:color="auto"/>
      </w:divBdr>
    </w:div>
    <w:div w:id="1137381038">
      <w:bodyDiv w:val="1"/>
      <w:marLeft w:val="0"/>
      <w:marRight w:val="0"/>
      <w:marTop w:val="0"/>
      <w:marBottom w:val="0"/>
      <w:divBdr>
        <w:top w:val="none" w:sz="0" w:space="0" w:color="auto"/>
        <w:left w:val="none" w:sz="0" w:space="0" w:color="auto"/>
        <w:bottom w:val="none" w:sz="0" w:space="0" w:color="auto"/>
        <w:right w:val="none" w:sz="0" w:space="0" w:color="auto"/>
      </w:divBdr>
    </w:div>
    <w:div w:id="1146824059">
      <w:bodyDiv w:val="1"/>
      <w:marLeft w:val="0"/>
      <w:marRight w:val="0"/>
      <w:marTop w:val="0"/>
      <w:marBottom w:val="0"/>
      <w:divBdr>
        <w:top w:val="none" w:sz="0" w:space="0" w:color="auto"/>
        <w:left w:val="none" w:sz="0" w:space="0" w:color="auto"/>
        <w:bottom w:val="none" w:sz="0" w:space="0" w:color="auto"/>
        <w:right w:val="none" w:sz="0" w:space="0" w:color="auto"/>
      </w:divBdr>
    </w:div>
    <w:div w:id="1158694701">
      <w:bodyDiv w:val="1"/>
      <w:marLeft w:val="0"/>
      <w:marRight w:val="0"/>
      <w:marTop w:val="0"/>
      <w:marBottom w:val="0"/>
      <w:divBdr>
        <w:top w:val="none" w:sz="0" w:space="0" w:color="auto"/>
        <w:left w:val="none" w:sz="0" w:space="0" w:color="auto"/>
        <w:bottom w:val="none" w:sz="0" w:space="0" w:color="auto"/>
        <w:right w:val="none" w:sz="0" w:space="0" w:color="auto"/>
      </w:divBdr>
    </w:div>
    <w:div w:id="1161238338">
      <w:bodyDiv w:val="1"/>
      <w:marLeft w:val="0"/>
      <w:marRight w:val="0"/>
      <w:marTop w:val="0"/>
      <w:marBottom w:val="0"/>
      <w:divBdr>
        <w:top w:val="none" w:sz="0" w:space="0" w:color="auto"/>
        <w:left w:val="none" w:sz="0" w:space="0" w:color="auto"/>
        <w:bottom w:val="none" w:sz="0" w:space="0" w:color="auto"/>
        <w:right w:val="none" w:sz="0" w:space="0" w:color="auto"/>
      </w:divBdr>
    </w:div>
    <w:div w:id="1162549921">
      <w:bodyDiv w:val="1"/>
      <w:marLeft w:val="0"/>
      <w:marRight w:val="0"/>
      <w:marTop w:val="0"/>
      <w:marBottom w:val="0"/>
      <w:divBdr>
        <w:top w:val="none" w:sz="0" w:space="0" w:color="auto"/>
        <w:left w:val="none" w:sz="0" w:space="0" w:color="auto"/>
        <w:bottom w:val="none" w:sz="0" w:space="0" w:color="auto"/>
        <w:right w:val="none" w:sz="0" w:space="0" w:color="auto"/>
      </w:divBdr>
    </w:div>
    <w:div w:id="1185484694">
      <w:bodyDiv w:val="1"/>
      <w:marLeft w:val="0"/>
      <w:marRight w:val="0"/>
      <w:marTop w:val="0"/>
      <w:marBottom w:val="0"/>
      <w:divBdr>
        <w:top w:val="none" w:sz="0" w:space="0" w:color="auto"/>
        <w:left w:val="none" w:sz="0" w:space="0" w:color="auto"/>
        <w:bottom w:val="none" w:sz="0" w:space="0" w:color="auto"/>
        <w:right w:val="none" w:sz="0" w:space="0" w:color="auto"/>
      </w:divBdr>
    </w:div>
    <w:div w:id="1191380713">
      <w:bodyDiv w:val="1"/>
      <w:marLeft w:val="0"/>
      <w:marRight w:val="0"/>
      <w:marTop w:val="0"/>
      <w:marBottom w:val="0"/>
      <w:divBdr>
        <w:top w:val="none" w:sz="0" w:space="0" w:color="auto"/>
        <w:left w:val="none" w:sz="0" w:space="0" w:color="auto"/>
        <w:bottom w:val="none" w:sz="0" w:space="0" w:color="auto"/>
        <w:right w:val="none" w:sz="0" w:space="0" w:color="auto"/>
      </w:divBdr>
    </w:div>
    <w:div w:id="1194341252">
      <w:bodyDiv w:val="1"/>
      <w:marLeft w:val="0"/>
      <w:marRight w:val="0"/>
      <w:marTop w:val="0"/>
      <w:marBottom w:val="0"/>
      <w:divBdr>
        <w:top w:val="none" w:sz="0" w:space="0" w:color="auto"/>
        <w:left w:val="none" w:sz="0" w:space="0" w:color="auto"/>
        <w:bottom w:val="none" w:sz="0" w:space="0" w:color="auto"/>
        <w:right w:val="none" w:sz="0" w:space="0" w:color="auto"/>
      </w:divBdr>
    </w:div>
    <w:div w:id="1204292085">
      <w:bodyDiv w:val="1"/>
      <w:marLeft w:val="0"/>
      <w:marRight w:val="0"/>
      <w:marTop w:val="0"/>
      <w:marBottom w:val="0"/>
      <w:divBdr>
        <w:top w:val="none" w:sz="0" w:space="0" w:color="auto"/>
        <w:left w:val="none" w:sz="0" w:space="0" w:color="auto"/>
        <w:bottom w:val="none" w:sz="0" w:space="0" w:color="auto"/>
        <w:right w:val="none" w:sz="0" w:space="0" w:color="auto"/>
      </w:divBdr>
    </w:div>
    <w:div w:id="1215971334">
      <w:bodyDiv w:val="1"/>
      <w:marLeft w:val="0"/>
      <w:marRight w:val="0"/>
      <w:marTop w:val="0"/>
      <w:marBottom w:val="0"/>
      <w:divBdr>
        <w:top w:val="none" w:sz="0" w:space="0" w:color="auto"/>
        <w:left w:val="none" w:sz="0" w:space="0" w:color="auto"/>
        <w:bottom w:val="none" w:sz="0" w:space="0" w:color="auto"/>
        <w:right w:val="none" w:sz="0" w:space="0" w:color="auto"/>
      </w:divBdr>
    </w:div>
    <w:div w:id="1217085622">
      <w:bodyDiv w:val="1"/>
      <w:marLeft w:val="0"/>
      <w:marRight w:val="0"/>
      <w:marTop w:val="0"/>
      <w:marBottom w:val="0"/>
      <w:divBdr>
        <w:top w:val="none" w:sz="0" w:space="0" w:color="auto"/>
        <w:left w:val="none" w:sz="0" w:space="0" w:color="auto"/>
        <w:bottom w:val="none" w:sz="0" w:space="0" w:color="auto"/>
        <w:right w:val="none" w:sz="0" w:space="0" w:color="auto"/>
      </w:divBdr>
    </w:div>
    <w:div w:id="1217086123">
      <w:bodyDiv w:val="1"/>
      <w:marLeft w:val="0"/>
      <w:marRight w:val="0"/>
      <w:marTop w:val="0"/>
      <w:marBottom w:val="0"/>
      <w:divBdr>
        <w:top w:val="none" w:sz="0" w:space="0" w:color="auto"/>
        <w:left w:val="none" w:sz="0" w:space="0" w:color="auto"/>
        <w:bottom w:val="none" w:sz="0" w:space="0" w:color="auto"/>
        <w:right w:val="none" w:sz="0" w:space="0" w:color="auto"/>
      </w:divBdr>
    </w:div>
    <w:div w:id="1253003026">
      <w:bodyDiv w:val="1"/>
      <w:marLeft w:val="0"/>
      <w:marRight w:val="0"/>
      <w:marTop w:val="0"/>
      <w:marBottom w:val="0"/>
      <w:divBdr>
        <w:top w:val="none" w:sz="0" w:space="0" w:color="auto"/>
        <w:left w:val="none" w:sz="0" w:space="0" w:color="auto"/>
        <w:bottom w:val="none" w:sz="0" w:space="0" w:color="auto"/>
        <w:right w:val="none" w:sz="0" w:space="0" w:color="auto"/>
      </w:divBdr>
    </w:div>
    <w:div w:id="1271740676">
      <w:bodyDiv w:val="1"/>
      <w:marLeft w:val="0"/>
      <w:marRight w:val="0"/>
      <w:marTop w:val="0"/>
      <w:marBottom w:val="0"/>
      <w:divBdr>
        <w:top w:val="none" w:sz="0" w:space="0" w:color="auto"/>
        <w:left w:val="none" w:sz="0" w:space="0" w:color="auto"/>
        <w:bottom w:val="none" w:sz="0" w:space="0" w:color="auto"/>
        <w:right w:val="none" w:sz="0" w:space="0" w:color="auto"/>
      </w:divBdr>
    </w:div>
    <w:div w:id="1304197123">
      <w:bodyDiv w:val="1"/>
      <w:marLeft w:val="0"/>
      <w:marRight w:val="0"/>
      <w:marTop w:val="0"/>
      <w:marBottom w:val="0"/>
      <w:divBdr>
        <w:top w:val="none" w:sz="0" w:space="0" w:color="auto"/>
        <w:left w:val="none" w:sz="0" w:space="0" w:color="auto"/>
        <w:bottom w:val="none" w:sz="0" w:space="0" w:color="auto"/>
        <w:right w:val="none" w:sz="0" w:space="0" w:color="auto"/>
      </w:divBdr>
    </w:div>
    <w:div w:id="1311250612">
      <w:bodyDiv w:val="1"/>
      <w:marLeft w:val="0"/>
      <w:marRight w:val="0"/>
      <w:marTop w:val="0"/>
      <w:marBottom w:val="0"/>
      <w:divBdr>
        <w:top w:val="none" w:sz="0" w:space="0" w:color="auto"/>
        <w:left w:val="none" w:sz="0" w:space="0" w:color="auto"/>
        <w:bottom w:val="none" w:sz="0" w:space="0" w:color="auto"/>
        <w:right w:val="none" w:sz="0" w:space="0" w:color="auto"/>
      </w:divBdr>
    </w:div>
    <w:div w:id="1317343194">
      <w:bodyDiv w:val="1"/>
      <w:marLeft w:val="0"/>
      <w:marRight w:val="0"/>
      <w:marTop w:val="0"/>
      <w:marBottom w:val="0"/>
      <w:divBdr>
        <w:top w:val="none" w:sz="0" w:space="0" w:color="auto"/>
        <w:left w:val="none" w:sz="0" w:space="0" w:color="auto"/>
        <w:bottom w:val="none" w:sz="0" w:space="0" w:color="auto"/>
        <w:right w:val="none" w:sz="0" w:space="0" w:color="auto"/>
      </w:divBdr>
    </w:div>
    <w:div w:id="1379547547">
      <w:bodyDiv w:val="1"/>
      <w:marLeft w:val="0"/>
      <w:marRight w:val="0"/>
      <w:marTop w:val="0"/>
      <w:marBottom w:val="0"/>
      <w:divBdr>
        <w:top w:val="none" w:sz="0" w:space="0" w:color="auto"/>
        <w:left w:val="none" w:sz="0" w:space="0" w:color="auto"/>
        <w:bottom w:val="none" w:sz="0" w:space="0" w:color="auto"/>
        <w:right w:val="none" w:sz="0" w:space="0" w:color="auto"/>
      </w:divBdr>
    </w:div>
    <w:div w:id="1381785111">
      <w:bodyDiv w:val="1"/>
      <w:marLeft w:val="0"/>
      <w:marRight w:val="0"/>
      <w:marTop w:val="0"/>
      <w:marBottom w:val="0"/>
      <w:divBdr>
        <w:top w:val="none" w:sz="0" w:space="0" w:color="auto"/>
        <w:left w:val="none" w:sz="0" w:space="0" w:color="auto"/>
        <w:bottom w:val="none" w:sz="0" w:space="0" w:color="auto"/>
        <w:right w:val="none" w:sz="0" w:space="0" w:color="auto"/>
      </w:divBdr>
    </w:div>
    <w:div w:id="1388644811">
      <w:bodyDiv w:val="1"/>
      <w:marLeft w:val="0"/>
      <w:marRight w:val="0"/>
      <w:marTop w:val="0"/>
      <w:marBottom w:val="0"/>
      <w:divBdr>
        <w:top w:val="none" w:sz="0" w:space="0" w:color="auto"/>
        <w:left w:val="none" w:sz="0" w:space="0" w:color="auto"/>
        <w:bottom w:val="none" w:sz="0" w:space="0" w:color="auto"/>
        <w:right w:val="none" w:sz="0" w:space="0" w:color="auto"/>
      </w:divBdr>
    </w:div>
    <w:div w:id="1395397990">
      <w:bodyDiv w:val="1"/>
      <w:marLeft w:val="0"/>
      <w:marRight w:val="0"/>
      <w:marTop w:val="0"/>
      <w:marBottom w:val="0"/>
      <w:divBdr>
        <w:top w:val="none" w:sz="0" w:space="0" w:color="auto"/>
        <w:left w:val="none" w:sz="0" w:space="0" w:color="auto"/>
        <w:bottom w:val="none" w:sz="0" w:space="0" w:color="auto"/>
        <w:right w:val="none" w:sz="0" w:space="0" w:color="auto"/>
      </w:divBdr>
    </w:div>
    <w:div w:id="1399017039">
      <w:bodyDiv w:val="1"/>
      <w:marLeft w:val="0"/>
      <w:marRight w:val="0"/>
      <w:marTop w:val="0"/>
      <w:marBottom w:val="0"/>
      <w:divBdr>
        <w:top w:val="none" w:sz="0" w:space="0" w:color="auto"/>
        <w:left w:val="none" w:sz="0" w:space="0" w:color="auto"/>
        <w:bottom w:val="none" w:sz="0" w:space="0" w:color="auto"/>
        <w:right w:val="none" w:sz="0" w:space="0" w:color="auto"/>
      </w:divBdr>
    </w:div>
    <w:div w:id="1412505603">
      <w:bodyDiv w:val="1"/>
      <w:marLeft w:val="0"/>
      <w:marRight w:val="0"/>
      <w:marTop w:val="0"/>
      <w:marBottom w:val="0"/>
      <w:divBdr>
        <w:top w:val="none" w:sz="0" w:space="0" w:color="auto"/>
        <w:left w:val="none" w:sz="0" w:space="0" w:color="auto"/>
        <w:bottom w:val="none" w:sz="0" w:space="0" w:color="auto"/>
        <w:right w:val="none" w:sz="0" w:space="0" w:color="auto"/>
      </w:divBdr>
    </w:div>
    <w:div w:id="1454516198">
      <w:bodyDiv w:val="1"/>
      <w:marLeft w:val="0"/>
      <w:marRight w:val="0"/>
      <w:marTop w:val="0"/>
      <w:marBottom w:val="0"/>
      <w:divBdr>
        <w:top w:val="none" w:sz="0" w:space="0" w:color="auto"/>
        <w:left w:val="none" w:sz="0" w:space="0" w:color="auto"/>
        <w:bottom w:val="none" w:sz="0" w:space="0" w:color="auto"/>
        <w:right w:val="none" w:sz="0" w:space="0" w:color="auto"/>
      </w:divBdr>
    </w:div>
    <w:div w:id="1462336603">
      <w:bodyDiv w:val="1"/>
      <w:marLeft w:val="0"/>
      <w:marRight w:val="0"/>
      <w:marTop w:val="0"/>
      <w:marBottom w:val="0"/>
      <w:divBdr>
        <w:top w:val="none" w:sz="0" w:space="0" w:color="auto"/>
        <w:left w:val="none" w:sz="0" w:space="0" w:color="auto"/>
        <w:bottom w:val="none" w:sz="0" w:space="0" w:color="auto"/>
        <w:right w:val="none" w:sz="0" w:space="0" w:color="auto"/>
      </w:divBdr>
    </w:div>
    <w:div w:id="1476332754">
      <w:bodyDiv w:val="1"/>
      <w:marLeft w:val="0"/>
      <w:marRight w:val="0"/>
      <w:marTop w:val="0"/>
      <w:marBottom w:val="0"/>
      <w:divBdr>
        <w:top w:val="none" w:sz="0" w:space="0" w:color="auto"/>
        <w:left w:val="none" w:sz="0" w:space="0" w:color="auto"/>
        <w:bottom w:val="none" w:sz="0" w:space="0" w:color="auto"/>
        <w:right w:val="none" w:sz="0" w:space="0" w:color="auto"/>
      </w:divBdr>
    </w:div>
    <w:div w:id="1481382181">
      <w:bodyDiv w:val="1"/>
      <w:marLeft w:val="0"/>
      <w:marRight w:val="0"/>
      <w:marTop w:val="0"/>
      <w:marBottom w:val="0"/>
      <w:divBdr>
        <w:top w:val="none" w:sz="0" w:space="0" w:color="auto"/>
        <w:left w:val="none" w:sz="0" w:space="0" w:color="auto"/>
        <w:bottom w:val="none" w:sz="0" w:space="0" w:color="auto"/>
        <w:right w:val="none" w:sz="0" w:space="0" w:color="auto"/>
      </w:divBdr>
    </w:div>
    <w:div w:id="1487478185">
      <w:bodyDiv w:val="1"/>
      <w:marLeft w:val="0"/>
      <w:marRight w:val="0"/>
      <w:marTop w:val="0"/>
      <w:marBottom w:val="0"/>
      <w:divBdr>
        <w:top w:val="none" w:sz="0" w:space="0" w:color="auto"/>
        <w:left w:val="none" w:sz="0" w:space="0" w:color="auto"/>
        <w:bottom w:val="none" w:sz="0" w:space="0" w:color="auto"/>
        <w:right w:val="none" w:sz="0" w:space="0" w:color="auto"/>
      </w:divBdr>
    </w:div>
    <w:div w:id="1490319587">
      <w:bodyDiv w:val="1"/>
      <w:marLeft w:val="0"/>
      <w:marRight w:val="0"/>
      <w:marTop w:val="0"/>
      <w:marBottom w:val="0"/>
      <w:divBdr>
        <w:top w:val="none" w:sz="0" w:space="0" w:color="auto"/>
        <w:left w:val="none" w:sz="0" w:space="0" w:color="auto"/>
        <w:bottom w:val="none" w:sz="0" w:space="0" w:color="auto"/>
        <w:right w:val="none" w:sz="0" w:space="0" w:color="auto"/>
      </w:divBdr>
    </w:div>
    <w:div w:id="1507164151">
      <w:bodyDiv w:val="1"/>
      <w:marLeft w:val="0"/>
      <w:marRight w:val="0"/>
      <w:marTop w:val="0"/>
      <w:marBottom w:val="0"/>
      <w:divBdr>
        <w:top w:val="none" w:sz="0" w:space="0" w:color="auto"/>
        <w:left w:val="none" w:sz="0" w:space="0" w:color="auto"/>
        <w:bottom w:val="none" w:sz="0" w:space="0" w:color="auto"/>
        <w:right w:val="none" w:sz="0" w:space="0" w:color="auto"/>
      </w:divBdr>
    </w:div>
    <w:div w:id="1508640577">
      <w:bodyDiv w:val="1"/>
      <w:marLeft w:val="0"/>
      <w:marRight w:val="0"/>
      <w:marTop w:val="0"/>
      <w:marBottom w:val="0"/>
      <w:divBdr>
        <w:top w:val="none" w:sz="0" w:space="0" w:color="auto"/>
        <w:left w:val="none" w:sz="0" w:space="0" w:color="auto"/>
        <w:bottom w:val="none" w:sz="0" w:space="0" w:color="auto"/>
        <w:right w:val="none" w:sz="0" w:space="0" w:color="auto"/>
      </w:divBdr>
    </w:div>
    <w:div w:id="1515683487">
      <w:bodyDiv w:val="1"/>
      <w:marLeft w:val="0"/>
      <w:marRight w:val="0"/>
      <w:marTop w:val="0"/>
      <w:marBottom w:val="0"/>
      <w:divBdr>
        <w:top w:val="none" w:sz="0" w:space="0" w:color="auto"/>
        <w:left w:val="none" w:sz="0" w:space="0" w:color="auto"/>
        <w:bottom w:val="none" w:sz="0" w:space="0" w:color="auto"/>
        <w:right w:val="none" w:sz="0" w:space="0" w:color="auto"/>
      </w:divBdr>
    </w:div>
    <w:div w:id="1560169986">
      <w:bodyDiv w:val="1"/>
      <w:marLeft w:val="0"/>
      <w:marRight w:val="0"/>
      <w:marTop w:val="0"/>
      <w:marBottom w:val="0"/>
      <w:divBdr>
        <w:top w:val="none" w:sz="0" w:space="0" w:color="auto"/>
        <w:left w:val="none" w:sz="0" w:space="0" w:color="auto"/>
        <w:bottom w:val="none" w:sz="0" w:space="0" w:color="auto"/>
        <w:right w:val="none" w:sz="0" w:space="0" w:color="auto"/>
      </w:divBdr>
    </w:div>
    <w:div w:id="1560508965">
      <w:bodyDiv w:val="1"/>
      <w:marLeft w:val="0"/>
      <w:marRight w:val="0"/>
      <w:marTop w:val="0"/>
      <w:marBottom w:val="0"/>
      <w:divBdr>
        <w:top w:val="none" w:sz="0" w:space="0" w:color="auto"/>
        <w:left w:val="none" w:sz="0" w:space="0" w:color="auto"/>
        <w:bottom w:val="none" w:sz="0" w:space="0" w:color="auto"/>
        <w:right w:val="none" w:sz="0" w:space="0" w:color="auto"/>
      </w:divBdr>
    </w:div>
    <w:div w:id="1569029603">
      <w:bodyDiv w:val="1"/>
      <w:marLeft w:val="0"/>
      <w:marRight w:val="0"/>
      <w:marTop w:val="0"/>
      <w:marBottom w:val="0"/>
      <w:divBdr>
        <w:top w:val="none" w:sz="0" w:space="0" w:color="auto"/>
        <w:left w:val="none" w:sz="0" w:space="0" w:color="auto"/>
        <w:bottom w:val="none" w:sz="0" w:space="0" w:color="auto"/>
        <w:right w:val="none" w:sz="0" w:space="0" w:color="auto"/>
      </w:divBdr>
    </w:div>
    <w:div w:id="1572961937">
      <w:bodyDiv w:val="1"/>
      <w:marLeft w:val="0"/>
      <w:marRight w:val="0"/>
      <w:marTop w:val="0"/>
      <w:marBottom w:val="0"/>
      <w:divBdr>
        <w:top w:val="none" w:sz="0" w:space="0" w:color="auto"/>
        <w:left w:val="none" w:sz="0" w:space="0" w:color="auto"/>
        <w:bottom w:val="none" w:sz="0" w:space="0" w:color="auto"/>
        <w:right w:val="none" w:sz="0" w:space="0" w:color="auto"/>
      </w:divBdr>
    </w:div>
    <w:div w:id="1578249711">
      <w:bodyDiv w:val="1"/>
      <w:marLeft w:val="0"/>
      <w:marRight w:val="0"/>
      <w:marTop w:val="0"/>
      <w:marBottom w:val="0"/>
      <w:divBdr>
        <w:top w:val="none" w:sz="0" w:space="0" w:color="auto"/>
        <w:left w:val="none" w:sz="0" w:space="0" w:color="auto"/>
        <w:bottom w:val="none" w:sz="0" w:space="0" w:color="auto"/>
        <w:right w:val="none" w:sz="0" w:space="0" w:color="auto"/>
      </w:divBdr>
    </w:div>
    <w:div w:id="1584602351">
      <w:bodyDiv w:val="1"/>
      <w:marLeft w:val="0"/>
      <w:marRight w:val="0"/>
      <w:marTop w:val="0"/>
      <w:marBottom w:val="0"/>
      <w:divBdr>
        <w:top w:val="none" w:sz="0" w:space="0" w:color="auto"/>
        <w:left w:val="none" w:sz="0" w:space="0" w:color="auto"/>
        <w:bottom w:val="none" w:sz="0" w:space="0" w:color="auto"/>
        <w:right w:val="none" w:sz="0" w:space="0" w:color="auto"/>
      </w:divBdr>
    </w:div>
    <w:div w:id="1585603351">
      <w:bodyDiv w:val="1"/>
      <w:marLeft w:val="0"/>
      <w:marRight w:val="0"/>
      <w:marTop w:val="0"/>
      <w:marBottom w:val="0"/>
      <w:divBdr>
        <w:top w:val="none" w:sz="0" w:space="0" w:color="auto"/>
        <w:left w:val="none" w:sz="0" w:space="0" w:color="auto"/>
        <w:bottom w:val="none" w:sz="0" w:space="0" w:color="auto"/>
        <w:right w:val="none" w:sz="0" w:space="0" w:color="auto"/>
      </w:divBdr>
    </w:div>
    <w:div w:id="1587568862">
      <w:bodyDiv w:val="1"/>
      <w:marLeft w:val="0"/>
      <w:marRight w:val="0"/>
      <w:marTop w:val="0"/>
      <w:marBottom w:val="0"/>
      <w:divBdr>
        <w:top w:val="none" w:sz="0" w:space="0" w:color="auto"/>
        <w:left w:val="none" w:sz="0" w:space="0" w:color="auto"/>
        <w:bottom w:val="none" w:sz="0" w:space="0" w:color="auto"/>
        <w:right w:val="none" w:sz="0" w:space="0" w:color="auto"/>
      </w:divBdr>
    </w:div>
    <w:div w:id="1606957648">
      <w:bodyDiv w:val="1"/>
      <w:marLeft w:val="0"/>
      <w:marRight w:val="0"/>
      <w:marTop w:val="0"/>
      <w:marBottom w:val="0"/>
      <w:divBdr>
        <w:top w:val="none" w:sz="0" w:space="0" w:color="auto"/>
        <w:left w:val="none" w:sz="0" w:space="0" w:color="auto"/>
        <w:bottom w:val="none" w:sz="0" w:space="0" w:color="auto"/>
        <w:right w:val="none" w:sz="0" w:space="0" w:color="auto"/>
      </w:divBdr>
    </w:div>
    <w:div w:id="1615673911">
      <w:bodyDiv w:val="1"/>
      <w:marLeft w:val="0"/>
      <w:marRight w:val="0"/>
      <w:marTop w:val="0"/>
      <w:marBottom w:val="0"/>
      <w:divBdr>
        <w:top w:val="none" w:sz="0" w:space="0" w:color="auto"/>
        <w:left w:val="none" w:sz="0" w:space="0" w:color="auto"/>
        <w:bottom w:val="none" w:sz="0" w:space="0" w:color="auto"/>
        <w:right w:val="none" w:sz="0" w:space="0" w:color="auto"/>
      </w:divBdr>
    </w:div>
    <w:div w:id="1627395611">
      <w:bodyDiv w:val="1"/>
      <w:marLeft w:val="0"/>
      <w:marRight w:val="0"/>
      <w:marTop w:val="0"/>
      <w:marBottom w:val="0"/>
      <w:divBdr>
        <w:top w:val="none" w:sz="0" w:space="0" w:color="auto"/>
        <w:left w:val="none" w:sz="0" w:space="0" w:color="auto"/>
        <w:bottom w:val="none" w:sz="0" w:space="0" w:color="auto"/>
        <w:right w:val="none" w:sz="0" w:space="0" w:color="auto"/>
      </w:divBdr>
    </w:div>
    <w:div w:id="1627738518">
      <w:bodyDiv w:val="1"/>
      <w:marLeft w:val="0"/>
      <w:marRight w:val="0"/>
      <w:marTop w:val="0"/>
      <w:marBottom w:val="0"/>
      <w:divBdr>
        <w:top w:val="none" w:sz="0" w:space="0" w:color="auto"/>
        <w:left w:val="none" w:sz="0" w:space="0" w:color="auto"/>
        <w:bottom w:val="none" w:sz="0" w:space="0" w:color="auto"/>
        <w:right w:val="none" w:sz="0" w:space="0" w:color="auto"/>
      </w:divBdr>
    </w:div>
    <w:div w:id="1640450664">
      <w:bodyDiv w:val="1"/>
      <w:marLeft w:val="0"/>
      <w:marRight w:val="0"/>
      <w:marTop w:val="0"/>
      <w:marBottom w:val="0"/>
      <w:divBdr>
        <w:top w:val="none" w:sz="0" w:space="0" w:color="auto"/>
        <w:left w:val="none" w:sz="0" w:space="0" w:color="auto"/>
        <w:bottom w:val="none" w:sz="0" w:space="0" w:color="auto"/>
        <w:right w:val="none" w:sz="0" w:space="0" w:color="auto"/>
      </w:divBdr>
    </w:div>
    <w:div w:id="1645574638">
      <w:bodyDiv w:val="1"/>
      <w:marLeft w:val="0"/>
      <w:marRight w:val="0"/>
      <w:marTop w:val="0"/>
      <w:marBottom w:val="0"/>
      <w:divBdr>
        <w:top w:val="none" w:sz="0" w:space="0" w:color="auto"/>
        <w:left w:val="none" w:sz="0" w:space="0" w:color="auto"/>
        <w:bottom w:val="none" w:sz="0" w:space="0" w:color="auto"/>
        <w:right w:val="none" w:sz="0" w:space="0" w:color="auto"/>
      </w:divBdr>
    </w:div>
    <w:div w:id="1650136742">
      <w:bodyDiv w:val="1"/>
      <w:marLeft w:val="0"/>
      <w:marRight w:val="0"/>
      <w:marTop w:val="0"/>
      <w:marBottom w:val="0"/>
      <w:divBdr>
        <w:top w:val="none" w:sz="0" w:space="0" w:color="auto"/>
        <w:left w:val="none" w:sz="0" w:space="0" w:color="auto"/>
        <w:bottom w:val="none" w:sz="0" w:space="0" w:color="auto"/>
        <w:right w:val="none" w:sz="0" w:space="0" w:color="auto"/>
      </w:divBdr>
    </w:div>
    <w:div w:id="1651982641">
      <w:bodyDiv w:val="1"/>
      <w:marLeft w:val="0"/>
      <w:marRight w:val="0"/>
      <w:marTop w:val="0"/>
      <w:marBottom w:val="0"/>
      <w:divBdr>
        <w:top w:val="none" w:sz="0" w:space="0" w:color="auto"/>
        <w:left w:val="none" w:sz="0" w:space="0" w:color="auto"/>
        <w:bottom w:val="none" w:sz="0" w:space="0" w:color="auto"/>
        <w:right w:val="none" w:sz="0" w:space="0" w:color="auto"/>
      </w:divBdr>
    </w:div>
    <w:div w:id="1688287610">
      <w:bodyDiv w:val="1"/>
      <w:marLeft w:val="0"/>
      <w:marRight w:val="0"/>
      <w:marTop w:val="0"/>
      <w:marBottom w:val="0"/>
      <w:divBdr>
        <w:top w:val="none" w:sz="0" w:space="0" w:color="auto"/>
        <w:left w:val="none" w:sz="0" w:space="0" w:color="auto"/>
        <w:bottom w:val="none" w:sz="0" w:space="0" w:color="auto"/>
        <w:right w:val="none" w:sz="0" w:space="0" w:color="auto"/>
      </w:divBdr>
    </w:div>
    <w:div w:id="1694189360">
      <w:bodyDiv w:val="1"/>
      <w:marLeft w:val="0"/>
      <w:marRight w:val="0"/>
      <w:marTop w:val="0"/>
      <w:marBottom w:val="0"/>
      <w:divBdr>
        <w:top w:val="none" w:sz="0" w:space="0" w:color="auto"/>
        <w:left w:val="none" w:sz="0" w:space="0" w:color="auto"/>
        <w:bottom w:val="none" w:sz="0" w:space="0" w:color="auto"/>
        <w:right w:val="none" w:sz="0" w:space="0" w:color="auto"/>
      </w:divBdr>
    </w:div>
    <w:div w:id="1694652905">
      <w:bodyDiv w:val="1"/>
      <w:marLeft w:val="0"/>
      <w:marRight w:val="0"/>
      <w:marTop w:val="0"/>
      <w:marBottom w:val="0"/>
      <w:divBdr>
        <w:top w:val="none" w:sz="0" w:space="0" w:color="auto"/>
        <w:left w:val="none" w:sz="0" w:space="0" w:color="auto"/>
        <w:bottom w:val="none" w:sz="0" w:space="0" w:color="auto"/>
        <w:right w:val="none" w:sz="0" w:space="0" w:color="auto"/>
      </w:divBdr>
    </w:div>
    <w:div w:id="1709647004">
      <w:bodyDiv w:val="1"/>
      <w:marLeft w:val="0"/>
      <w:marRight w:val="0"/>
      <w:marTop w:val="0"/>
      <w:marBottom w:val="0"/>
      <w:divBdr>
        <w:top w:val="none" w:sz="0" w:space="0" w:color="auto"/>
        <w:left w:val="none" w:sz="0" w:space="0" w:color="auto"/>
        <w:bottom w:val="none" w:sz="0" w:space="0" w:color="auto"/>
        <w:right w:val="none" w:sz="0" w:space="0" w:color="auto"/>
      </w:divBdr>
    </w:div>
    <w:div w:id="1712880010">
      <w:bodyDiv w:val="1"/>
      <w:marLeft w:val="0"/>
      <w:marRight w:val="0"/>
      <w:marTop w:val="0"/>
      <w:marBottom w:val="0"/>
      <w:divBdr>
        <w:top w:val="none" w:sz="0" w:space="0" w:color="auto"/>
        <w:left w:val="none" w:sz="0" w:space="0" w:color="auto"/>
        <w:bottom w:val="none" w:sz="0" w:space="0" w:color="auto"/>
        <w:right w:val="none" w:sz="0" w:space="0" w:color="auto"/>
      </w:divBdr>
    </w:div>
    <w:div w:id="1722947857">
      <w:bodyDiv w:val="1"/>
      <w:marLeft w:val="0"/>
      <w:marRight w:val="0"/>
      <w:marTop w:val="0"/>
      <w:marBottom w:val="0"/>
      <w:divBdr>
        <w:top w:val="none" w:sz="0" w:space="0" w:color="auto"/>
        <w:left w:val="none" w:sz="0" w:space="0" w:color="auto"/>
        <w:bottom w:val="none" w:sz="0" w:space="0" w:color="auto"/>
        <w:right w:val="none" w:sz="0" w:space="0" w:color="auto"/>
      </w:divBdr>
    </w:div>
    <w:div w:id="1723484314">
      <w:bodyDiv w:val="1"/>
      <w:marLeft w:val="0"/>
      <w:marRight w:val="0"/>
      <w:marTop w:val="0"/>
      <w:marBottom w:val="0"/>
      <w:divBdr>
        <w:top w:val="none" w:sz="0" w:space="0" w:color="auto"/>
        <w:left w:val="none" w:sz="0" w:space="0" w:color="auto"/>
        <w:bottom w:val="none" w:sz="0" w:space="0" w:color="auto"/>
        <w:right w:val="none" w:sz="0" w:space="0" w:color="auto"/>
      </w:divBdr>
    </w:div>
    <w:div w:id="1743259866">
      <w:bodyDiv w:val="1"/>
      <w:marLeft w:val="0"/>
      <w:marRight w:val="0"/>
      <w:marTop w:val="0"/>
      <w:marBottom w:val="0"/>
      <w:divBdr>
        <w:top w:val="none" w:sz="0" w:space="0" w:color="auto"/>
        <w:left w:val="none" w:sz="0" w:space="0" w:color="auto"/>
        <w:bottom w:val="none" w:sz="0" w:space="0" w:color="auto"/>
        <w:right w:val="none" w:sz="0" w:space="0" w:color="auto"/>
      </w:divBdr>
    </w:div>
    <w:div w:id="1745492686">
      <w:bodyDiv w:val="1"/>
      <w:marLeft w:val="0"/>
      <w:marRight w:val="0"/>
      <w:marTop w:val="0"/>
      <w:marBottom w:val="0"/>
      <w:divBdr>
        <w:top w:val="none" w:sz="0" w:space="0" w:color="auto"/>
        <w:left w:val="none" w:sz="0" w:space="0" w:color="auto"/>
        <w:bottom w:val="none" w:sz="0" w:space="0" w:color="auto"/>
        <w:right w:val="none" w:sz="0" w:space="0" w:color="auto"/>
      </w:divBdr>
    </w:div>
    <w:div w:id="1756853307">
      <w:bodyDiv w:val="1"/>
      <w:marLeft w:val="0"/>
      <w:marRight w:val="0"/>
      <w:marTop w:val="0"/>
      <w:marBottom w:val="0"/>
      <w:divBdr>
        <w:top w:val="none" w:sz="0" w:space="0" w:color="auto"/>
        <w:left w:val="none" w:sz="0" w:space="0" w:color="auto"/>
        <w:bottom w:val="none" w:sz="0" w:space="0" w:color="auto"/>
        <w:right w:val="none" w:sz="0" w:space="0" w:color="auto"/>
      </w:divBdr>
    </w:div>
    <w:div w:id="1763183002">
      <w:bodyDiv w:val="1"/>
      <w:marLeft w:val="0"/>
      <w:marRight w:val="0"/>
      <w:marTop w:val="0"/>
      <w:marBottom w:val="0"/>
      <w:divBdr>
        <w:top w:val="none" w:sz="0" w:space="0" w:color="auto"/>
        <w:left w:val="none" w:sz="0" w:space="0" w:color="auto"/>
        <w:bottom w:val="none" w:sz="0" w:space="0" w:color="auto"/>
        <w:right w:val="none" w:sz="0" w:space="0" w:color="auto"/>
      </w:divBdr>
    </w:div>
    <w:div w:id="1773015347">
      <w:bodyDiv w:val="1"/>
      <w:marLeft w:val="0"/>
      <w:marRight w:val="0"/>
      <w:marTop w:val="0"/>
      <w:marBottom w:val="0"/>
      <w:divBdr>
        <w:top w:val="none" w:sz="0" w:space="0" w:color="auto"/>
        <w:left w:val="none" w:sz="0" w:space="0" w:color="auto"/>
        <w:bottom w:val="none" w:sz="0" w:space="0" w:color="auto"/>
        <w:right w:val="none" w:sz="0" w:space="0" w:color="auto"/>
      </w:divBdr>
    </w:div>
    <w:div w:id="1773889382">
      <w:bodyDiv w:val="1"/>
      <w:marLeft w:val="0"/>
      <w:marRight w:val="0"/>
      <w:marTop w:val="0"/>
      <w:marBottom w:val="0"/>
      <w:divBdr>
        <w:top w:val="none" w:sz="0" w:space="0" w:color="auto"/>
        <w:left w:val="none" w:sz="0" w:space="0" w:color="auto"/>
        <w:bottom w:val="none" w:sz="0" w:space="0" w:color="auto"/>
        <w:right w:val="none" w:sz="0" w:space="0" w:color="auto"/>
      </w:divBdr>
    </w:div>
    <w:div w:id="1774665589">
      <w:bodyDiv w:val="1"/>
      <w:marLeft w:val="0"/>
      <w:marRight w:val="0"/>
      <w:marTop w:val="0"/>
      <w:marBottom w:val="0"/>
      <w:divBdr>
        <w:top w:val="none" w:sz="0" w:space="0" w:color="auto"/>
        <w:left w:val="none" w:sz="0" w:space="0" w:color="auto"/>
        <w:bottom w:val="none" w:sz="0" w:space="0" w:color="auto"/>
        <w:right w:val="none" w:sz="0" w:space="0" w:color="auto"/>
      </w:divBdr>
    </w:div>
    <w:div w:id="1777360552">
      <w:bodyDiv w:val="1"/>
      <w:marLeft w:val="0"/>
      <w:marRight w:val="0"/>
      <w:marTop w:val="0"/>
      <w:marBottom w:val="0"/>
      <w:divBdr>
        <w:top w:val="none" w:sz="0" w:space="0" w:color="auto"/>
        <w:left w:val="none" w:sz="0" w:space="0" w:color="auto"/>
        <w:bottom w:val="none" w:sz="0" w:space="0" w:color="auto"/>
        <w:right w:val="none" w:sz="0" w:space="0" w:color="auto"/>
      </w:divBdr>
    </w:div>
    <w:div w:id="1779718705">
      <w:bodyDiv w:val="1"/>
      <w:marLeft w:val="0"/>
      <w:marRight w:val="0"/>
      <w:marTop w:val="0"/>
      <w:marBottom w:val="0"/>
      <w:divBdr>
        <w:top w:val="none" w:sz="0" w:space="0" w:color="auto"/>
        <w:left w:val="none" w:sz="0" w:space="0" w:color="auto"/>
        <w:bottom w:val="none" w:sz="0" w:space="0" w:color="auto"/>
        <w:right w:val="none" w:sz="0" w:space="0" w:color="auto"/>
      </w:divBdr>
    </w:div>
    <w:div w:id="1782064950">
      <w:bodyDiv w:val="1"/>
      <w:marLeft w:val="0"/>
      <w:marRight w:val="0"/>
      <w:marTop w:val="0"/>
      <w:marBottom w:val="0"/>
      <w:divBdr>
        <w:top w:val="none" w:sz="0" w:space="0" w:color="auto"/>
        <w:left w:val="none" w:sz="0" w:space="0" w:color="auto"/>
        <w:bottom w:val="none" w:sz="0" w:space="0" w:color="auto"/>
        <w:right w:val="none" w:sz="0" w:space="0" w:color="auto"/>
      </w:divBdr>
    </w:div>
    <w:div w:id="1785424386">
      <w:bodyDiv w:val="1"/>
      <w:marLeft w:val="0"/>
      <w:marRight w:val="0"/>
      <w:marTop w:val="0"/>
      <w:marBottom w:val="0"/>
      <w:divBdr>
        <w:top w:val="none" w:sz="0" w:space="0" w:color="auto"/>
        <w:left w:val="none" w:sz="0" w:space="0" w:color="auto"/>
        <w:bottom w:val="none" w:sz="0" w:space="0" w:color="auto"/>
        <w:right w:val="none" w:sz="0" w:space="0" w:color="auto"/>
      </w:divBdr>
    </w:div>
    <w:div w:id="1815221157">
      <w:bodyDiv w:val="1"/>
      <w:marLeft w:val="0"/>
      <w:marRight w:val="0"/>
      <w:marTop w:val="0"/>
      <w:marBottom w:val="0"/>
      <w:divBdr>
        <w:top w:val="none" w:sz="0" w:space="0" w:color="auto"/>
        <w:left w:val="none" w:sz="0" w:space="0" w:color="auto"/>
        <w:bottom w:val="none" w:sz="0" w:space="0" w:color="auto"/>
        <w:right w:val="none" w:sz="0" w:space="0" w:color="auto"/>
      </w:divBdr>
    </w:div>
    <w:div w:id="1815834036">
      <w:bodyDiv w:val="1"/>
      <w:marLeft w:val="0"/>
      <w:marRight w:val="0"/>
      <w:marTop w:val="0"/>
      <w:marBottom w:val="0"/>
      <w:divBdr>
        <w:top w:val="none" w:sz="0" w:space="0" w:color="auto"/>
        <w:left w:val="none" w:sz="0" w:space="0" w:color="auto"/>
        <w:bottom w:val="none" w:sz="0" w:space="0" w:color="auto"/>
        <w:right w:val="none" w:sz="0" w:space="0" w:color="auto"/>
      </w:divBdr>
    </w:div>
    <w:div w:id="1829243786">
      <w:bodyDiv w:val="1"/>
      <w:marLeft w:val="0"/>
      <w:marRight w:val="0"/>
      <w:marTop w:val="0"/>
      <w:marBottom w:val="0"/>
      <w:divBdr>
        <w:top w:val="none" w:sz="0" w:space="0" w:color="auto"/>
        <w:left w:val="none" w:sz="0" w:space="0" w:color="auto"/>
        <w:bottom w:val="none" w:sz="0" w:space="0" w:color="auto"/>
        <w:right w:val="none" w:sz="0" w:space="0" w:color="auto"/>
      </w:divBdr>
    </w:div>
    <w:div w:id="1853227056">
      <w:bodyDiv w:val="1"/>
      <w:marLeft w:val="0"/>
      <w:marRight w:val="0"/>
      <w:marTop w:val="0"/>
      <w:marBottom w:val="0"/>
      <w:divBdr>
        <w:top w:val="none" w:sz="0" w:space="0" w:color="auto"/>
        <w:left w:val="none" w:sz="0" w:space="0" w:color="auto"/>
        <w:bottom w:val="none" w:sz="0" w:space="0" w:color="auto"/>
        <w:right w:val="none" w:sz="0" w:space="0" w:color="auto"/>
      </w:divBdr>
    </w:div>
    <w:div w:id="1854804576">
      <w:bodyDiv w:val="1"/>
      <w:marLeft w:val="0"/>
      <w:marRight w:val="0"/>
      <w:marTop w:val="0"/>
      <w:marBottom w:val="0"/>
      <w:divBdr>
        <w:top w:val="none" w:sz="0" w:space="0" w:color="auto"/>
        <w:left w:val="none" w:sz="0" w:space="0" w:color="auto"/>
        <w:bottom w:val="none" w:sz="0" w:space="0" w:color="auto"/>
        <w:right w:val="none" w:sz="0" w:space="0" w:color="auto"/>
      </w:divBdr>
    </w:div>
    <w:div w:id="1873224581">
      <w:bodyDiv w:val="1"/>
      <w:marLeft w:val="0"/>
      <w:marRight w:val="0"/>
      <w:marTop w:val="0"/>
      <w:marBottom w:val="0"/>
      <w:divBdr>
        <w:top w:val="none" w:sz="0" w:space="0" w:color="auto"/>
        <w:left w:val="none" w:sz="0" w:space="0" w:color="auto"/>
        <w:bottom w:val="none" w:sz="0" w:space="0" w:color="auto"/>
        <w:right w:val="none" w:sz="0" w:space="0" w:color="auto"/>
      </w:divBdr>
    </w:div>
    <w:div w:id="1877890224">
      <w:bodyDiv w:val="1"/>
      <w:marLeft w:val="0"/>
      <w:marRight w:val="0"/>
      <w:marTop w:val="0"/>
      <w:marBottom w:val="0"/>
      <w:divBdr>
        <w:top w:val="none" w:sz="0" w:space="0" w:color="auto"/>
        <w:left w:val="none" w:sz="0" w:space="0" w:color="auto"/>
        <w:bottom w:val="none" w:sz="0" w:space="0" w:color="auto"/>
        <w:right w:val="none" w:sz="0" w:space="0" w:color="auto"/>
      </w:divBdr>
    </w:div>
    <w:div w:id="1902979016">
      <w:bodyDiv w:val="1"/>
      <w:marLeft w:val="0"/>
      <w:marRight w:val="0"/>
      <w:marTop w:val="0"/>
      <w:marBottom w:val="0"/>
      <w:divBdr>
        <w:top w:val="none" w:sz="0" w:space="0" w:color="auto"/>
        <w:left w:val="none" w:sz="0" w:space="0" w:color="auto"/>
        <w:bottom w:val="none" w:sz="0" w:space="0" w:color="auto"/>
        <w:right w:val="none" w:sz="0" w:space="0" w:color="auto"/>
      </w:divBdr>
    </w:div>
    <w:div w:id="1913614921">
      <w:bodyDiv w:val="1"/>
      <w:marLeft w:val="0"/>
      <w:marRight w:val="0"/>
      <w:marTop w:val="0"/>
      <w:marBottom w:val="0"/>
      <w:divBdr>
        <w:top w:val="none" w:sz="0" w:space="0" w:color="auto"/>
        <w:left w:val="none" w:sz="0" w:space="0" w:color="auto"/>
        <w:bottom w:val="none" w:sz="0" w:space="0" w:color="auto"/>
        <w:right w:val="none" w:sz="0" w:space="0" w:color="auto"/>
      </w:divBdr>
    </w:div>
    <w:div w:id="1914899047">
      <w:bodyDiv w:val="1"/>
      <w:marLeft w:val="0"/>
      <w:marRight w:val="0"/>
      <w:marTop w:val="0"/>
      <w:marBottom w:val="0"/>
      <w:divBdr>
        <w:top w:val="none" w:sz="0" w:space="0" w:color="auto"/>
        <w:left w:val="none" w:sz="0" w:space="0" w:color="auto"/>
        <w:bottom w:val="none" w:sz="0" w:space="0" w:color="auto"/>
        <w:right w:val="none" w:sz="0" w:space="0" w:color="auto"/>
      </w:divBdr>
    </w:div>
    <w:div w:id="1918244339">
      <w:bodyDiv w:val="1"/>
      <w:marLeft w:val="0"/>
      <w:marRight w:val="0"/>
      <w:marTop w:val="0"/>
      <w:marBottom w:val="0"/>
      <w:divBdr>
        <w:top w:val="none" w:sz="0" w:space="0" w:color="auto"/>
        <w:left w:val="none" w:sz="0" w:space="0" w:color="auto"/>
        <w:bottom w:val="none" w:sz="0" w:space="0" w:color="auto"/>
        <w:right w:val="none" w:sz="0" w:space="0" w:color="auto"/>
      </w:divBdr>
    </w:div>
    <w:div w:id="1937322024">
      <w:bodyDiv w:val="1"/>
      <w:marLeft w:val="0"/>
      <w:marRight w:val="0"/>
      <w:marTop w:val="0"/>
      <w:marBottom w:val="0"/>
      <w:divBdr>
        <w:top w:val="none" w:sz="0" w:space="0" w:color="auto"/>
        <w:left w:val="none" w:sz="0" w:space="0" w:color="auto"/>
        <w:bottom w:val="none" w:sz="0" w:space="0" w:color="auto"/>
        <w:right w:val="none" w:sz="0" w:space="0" w:color="auto"/>
      </w:divBdr>
    </w:div>
    <w:div w:id="1967929649">
      <w:bodyDiv w:val="1"/>
      <w:marLeft w:val="0"/>
      <w:marRight w:val="0"/>
      <w:marTop w:val="0"/>
      <w:marBottom w:val="0"/>
      <w:divBdr>
        <w:top w:val="none" w:sz="0" w:space="0" w:color="auto"/>
        <w:left w:val="none" w:sz="0" w:space="0" w:color="auto"/>
        <w:bottom w:val="none" w:sz="0" w:space="0" w:color="auto"/>
        <w:right w:val="none" w:sz="0" w:space="0" w:color="auto"/>
      </w:divBdr>
    </w:div>
    <w:div w:id="1998068053">
      <w:bodyDiv w:val="1"/>
      <w:marLeft w:val="0"/>
      <w:marRight w:val="0"/>
      <w:marTop w:val="0"/>
      <w:marBottom w:val="0"/>
      <w:divBdr>
        <w:top w:val="none" w:sz="0" w:space="0" w:color="auto"/>
        <w:left w:val="none" w:sz="0" w:space="0" w:color="auto"/>
        <w:bottom w:val="none" w:sz="0" w:space="0" w:color="auto"/>
        <w:right w:val="none" w:sz="0" w:space="0" w:color="auto"/>
      </w:divBdr>
    </w:div>
    <w:div w:id="2010791259">
      <w:bodyDiv w:val="1"/>
      <w:marLeft w:val="0"/>
      <w:marRight w:val="0"/>
      <w:marTop w:val="0"/>
      <w:marBottom w:val="0"/>
      <w:divBdr>
        <w:top w:val="none" w:sz="0" w:space="0" w:color="auto"/>
        <w:left w:val="none" w:sz="0" w:space="0" w:color="auto"/>
        <w:bottom w:val="none" w:sz="0" w:space="0" w:color="auto"/>
        <w:right w:val="none" w:sz="0" w:space="0" w:color="auto"/>
      </w:divBdr>
    </w:div>
    <w:div w:id="2032611172">
      <w:bodyDiv w:val="1"/>
      <w:marLeft w:val="0"/>
      <w:marRight w:val="0"/>
      <w:marTop w:val="0"/>
      <w:marBottom w:val="0"/>
      <w:divBdr>
        <w:top w:val="none" w:sz="0" w:space="0" w:color="auto"/>
        <w:left w:val="none" w:sz="0" w:space="0" w:color="auto"/>
        <w:bottom w:val="none" w:sz="0" w:space="0" w:color="auto"/>
        <w:right w:val="none" w:sz="0" w:space="0" w:color="auto"/>
      </w:divBdr>
    </w:div>
    <w:div w:id="2036226752">
      <w:bodyDiv w:val="1"/>
      <w:marLeft w:val="0"/>
      <w:marRight w:val="0"/>
      <w:marTop w:val="0"/>
      <w:marBottom w:val="0"/>
      <w:divBdr>
        <w:top w:val="none" w:sz="0" w:space="0" w:color="auto"/>
        <w:left w:val="none" w:sz="0" w:space="0" w:color="auto"/>
        <w:bottom w:val="none" w:sz="0" w:space="0" w:color="auto"/>
        <w:right w:val="none" w:sz="0" w:space="0" w:color="auto"/>
      </w:divBdr>
    </w:div>
    <w:div w:id="2042437867">
      <w:bodyDiv w:val="1"/>
      <w:marLeft w:val="0"/>
      <w:marRight w:val="0"/>
      <w:marTop w:val="0"/>
      <w:marBottom w:val="0"/>
      <w:divBdr>
        <w:top w:val="none" w:sz="0" w:space="0" w:color="auto"/>
        <w:left w:val="none" w:sz="0" w:space="0" w:color="auto"/>
        <w:bottom w:val="none" w:sz="0" w:space="0" w:color="auto"/>
        <w:right w:val="none" w:sz="0" w:space="0" w:color="auto"/>
      </w:divBdr>
    </w:div>
    <w:div w:id="2055693391">
      <w:bodyDiv w:val="1"/>
      <w:marLeft w:val="0"/>
      <w:marRight w:val="0"/>
      <w:marTop w:val="0"/>
      <w:marBottom w:val="0"/>
      <w:divBdr>
        <w:top w:val="none" w:sz="0" w:space="0" w:color="auto"/>
        <w:left w:val="none" w:sz="0" w:space="0" w:color="auto"/>
        <w:bottom w:val="none" w:sz="0" w:space="0" w:color="auto"/>
        <w:right w:val="none" w:sz="0" w:space="0" w:color="auto"/>
      </w:divBdr>
    </w:div>
    <w:div w:id="2066828020">
      <w:bodyDiv w:val="1"/>
      <w:marLeft w:val="0"/>
      <w:marRight w:val="0"/>
      <w:marTop w:val="0"/>
      <w:marBottom w:val="0"/>
      <w:divBdr>
        <w:top w:val="none" w:sz="0" w:space="0" w:color="auto"/>
        <w:left w:val="none" w:sz="0" w:space="0" w:color="auto"/>
        <w:bottom w:val="none" w:sz="0" w:space="0" w:color="auto"/>
        <w:right w:val="none" w:sz="0" w:space="0" w:color="auto"/>
      </w:divBdr>
    </w:div>
    <w:div w:id="2074886662">
      <w:bodyDiv w:val="1"/>
      <w:marLeft w:val="0"/>
      <w:marRight w:val="0"/>
      <w:marTop w:val="0"/>
      <w:marBottom w:val="0"/>
      <w:divBdr>
        <w:top w:val="none" w:sz="0" w:space="0" w:color="auto"/>
        <w:left w:val="none" w:sz="0" w:space="0" w:color="auto"/>
        <w:bottom w:val="none" w:sz="0" w:space="0" w:color="auto"/>
        <w:right w:val="none" w:sz="0" w:space="0" w:color="auto"/>
      </w:divBdr>
    </w:div>
    <w:div w:id="2076733610">
      <w:bodyDiv w:val="1"/>
      <w:marLeft w:val="0"/>
      <w:marRight w:val="0"/>
      <w:marTop w:val="0"/>
      <w:marBottom w:val="0"/>
      <w:divBdr>
        <w:top w:val="none" w:sz="0" w:space="0" w:color="auto"/>
        <w:left w:val="none" w:sz="0" w:space="0" w:color="auto"/>
        <w:bottom w:val="none" w:sz="0" w:space="0" w:color="auto"/>
        <w:right w:val="none" w:sz="0" w:space="0" w:color="auto"/>
      </w:divBdr>
    </w:div>
    <w:div w:id="21121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eldercare.gov/Eldercare.NET/Public/Index.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ltcombudsman.org/" TargetMode="External"/><Relationship Id="rId2" Type="http://schemas.openxmlformats.org/officeDocument/2006/relationships/numbering" Target="numbering.xml"/><Relationship Id="rId16" Type="http://schemas.openxmlformats.org/officeDocument/2006/relationships/hyperlink" Target="https://www.pensionhel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lrc.acl.go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cl.gov/Get_Help/BrainHealth/Index.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gid.acl.gov/" TargetMode="External"/><Relationship Id="rId13" Type="http://schemas.openxmlformats.org/officeDocument/2006/relationships/hyperlink" Target="http://www.agid.acl.gov/" TargetMode="External"/><Relationship Id="rId18" Type="http://schemas.openxmlformats.org/officeDocument/2006/relationships/hyperlink" Target="http://www.ncbi.nlm.nih.gov/pubmed/12383144" TargetMode="External"/><Relationship Id="rId26" Type="http://schemas.openxmlformats.org/officeDocument/2006/relationships/hyperlink" Target="http://www.agid.acl.gov/" TargetMode="External"/><Relationship Id="rId3" Type="http://schemas.openxmlformats.org/officeDocument/2006/relationships/hyperlink" Target="https://www.cdc.gov/nchs/products/databriefs/db267.htm" TargetMode="External"/><Relationship Id="rId21" Type="http://schemas.openxmlformats.org/officeDocument/2006/relationships/hyperlink" Target="http://www.pearlsprogram.org/" TargetMode="External"/><Relationship Id="rId7" Type="http://schemas.openxmlformats.org/officeDocument/2006/relationships/hyperlink" Target="http://www.agid.acl.gov/" TargetMode="External"/><Relationship Id="rId12" Type="http://schemas.openxmlformats.org/officeDocument/2006/relationships/hyperlink" Target="http://www.agid.acl.gov/" TargetMode="External"/><Relationship Id="rId17" Type="http://schemas.openxmlformats.org/officeDocument/2006/relationships/hyperlink" Target="http://www.cdc.gov/nchs/hus.htm" TargetMode="External"/><Relationship Id="rId25" Type="http://schemas.openxmlformats.org/officeDocument/2006/relationships/hyperlink" Target="http://www.aarp.org/content/dam/aarp/research/public_policy_institute/health/home-alone-family-caregivers-providing-complex-chronic-care-rev-AARP-ppi-health.pdf" TargetMode="External"/><Relationship Id="rId33" Type="http://schemas.openxmlformats.org/officeDocument/2006/relationships/hyperlink" Target="http://www.aoa.acl.gov/Program_Results/docs/LTCOP%20Evaluation%20Study%20Design_01312013.pdf" TargetMode="External"/><Relationship Id="rId2" Type="http://schemas.openxmlformats.org/officeDocument/2006/relationships/hyperlink" Target="http://www.agid.acl.gov/" TargetMode="External"/><Relationship Id="rId16" Type="http://schemas.openxmlformats.org/officeDocument/2006/relationships/hyperlink" Target="http://www.agid.acl.gov/" TargetMode="External"/><Relationship Id="rId20" Type="http://schemas.openxmlformats.org/officeDocument/2006/relationships/hyperlink" Target="https://www.cms.gov/Research-Statistics-Data-and-Systems/Statistics-Trends-and-Reports/Chronic-Conditions/CC_Main.html" TargetMode="External"/><Relationship Id="rId29" Type="http://schemas.openxmlformats.org/officeDocument/2006/relationships/hyperlink" Target="http://www.caregiving.org/wp-content/uploads/2015/05/2015_CaregivingintheUS_Care-Recipients-Over-50_WEB.pdf" TargetMode="External"/><Relationship Id="rId1" Type="http://schemas.openxmlformats.org/officeDocument/2006/relationships/hyperlink" Target="http://www.cms.gov/Research-Statistics-Data-and-Systems/Research/MCBS/Data-Tables-Items/2013CNP.html" TargetMode="External"/><Relationship Id="rId6" Type="http://schemas.openxmlformats.org/officeDocument/2006/relationships/hyperlink" Target="http://www.agid.acl.gov/" TargetMode="External"/><Relationship Id="rId11" Type="http://schemas.openxmlformats.org/officeDocument/2006/relationships/hyperlink" Target="https://factfinder.census.gov/faces/tableservices/jsf/pages/productview.xhtml?pid=PEP_2015_PEPAGESEX&amp;prodType=table" TargetMode="External"/><Relationship Id="rId24" Type="http://schemas.openxmlformats.org/officeDocument/2006/relationships/hyperlink" Target="http://www.aarp.org/ppi/info-2015/valuing-the-invaluable-2015-update.html" TargetMode="External"/><Relationship Id="rId32" Type="http://schemas.openxmlformats.org/officeDocument/2006/relationships/hyperlink" Target="https://aspe.hhs.gov/national-plan-address-alzheimers-disease-2015-update" TargetMode="External"/><Relationship Id="rId5" Type="http://schemas.openxmlformats.org/officeDocument/2006/relationships/hyperlink" Target="https://www.cms.gov/Research-Statistics-Data-and-Systems/Statistics-Trends-and-Reports/Chronic-Conditions/MCC_Main.html" TargetMode="External"/><Relationship Id="rId15" Type="http://schemas.openxmlformats.org/officeDocument/2006/relationships/hyperlink" Target="http://www.agid.acl.gov/" TargetMode="External"/><Relationship Id="rId23" Type="http://schemas.openxmlformats.org/officeDocument/2006/relationships/hyperlink" Target="https://www.ncoa.org/wp-content/uploads/Series-Overview-Issue-Brief-1.pdf" TargetMode="External"/><Relationship Id="rId28" Type="http://schemas.openxmlformats.org/officeDocument/2006/relationships/hyperlink" Target="http://www.agid.acl.gov/" TargetMode="External"/><Relationship Id="rId10" Type="http://schemas.openxmlformats.org/officeDocument/2006/relationships/hyperlink" Target="https://www.nal.usda.gov/fnic/dietary-reference-intakes" TargetMode="External"/><Relationship Id="rId19" Type="http://schemas.openxmlformats.org/officeDocument/2006/relationships/hyperlink" Target="https://acl.gov/Programs/CPE/OPE/ADEPP.aspx" TargetMode="External"/><Relationship Id="rId31" Type="http://schemas.openxmlformats.org/officeDocument/2006/relationships/hyperlink" Target="http://www.agid.acl.gov/" TargetMode="External"/><Relationship Id="rId4" Type="http://schemas.openxmlformats.org/officeDocument/2006/relationships/hyperlink" Target="https://www.cms.gov/Research-Statistics-Data-and-Systems/Statistics-Trends-and-Reports/Chronic-Conditions/Chartbook_Charts.html" TargetMode="External"/><Relationship Id="rId9" Type="http://schemas.openxmlformats.org/officeDocument/2006/relationships/hyperlink" Target="https://health.gov/dietaryguidelines/2015/guidelines/" TargetMode="External"/><Relationship Id="rId14" Type="http://schemas.openxmlformats.org/officeDocument/2006/relationships/hyperlink" Target="http://onlinelibrary.wiley.com/doi/10.1111/1475-6773.12015/abstract" TargetMode="External"/><Relationship Id="rId22" Type="http://schemas.openxmlformats.org/officeDocument/2006/relationships/hyperlink" Target="https://www.ncoa.org/wp-content/uploads/2015-Sustainability-Assessment-Results-12.15.15.pdf" TargetMode="External"/><Relationship Id="rId27" Type="http://schemas.openxmlformats.org/officeDocument/2006/relationships/hyperlink" Target="https://www.cms.gov/Research-Statistics-Data-and-Systems/Research/MCBS/Data-Tables-Items/2013CNP.html" TargetMode="External"/><Relationship Id="rId30" Type="http://schemas.openxmlformats.org/officeDocument/2006/relationships/hyperlink" Target="http://www.agid.acl.g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OAFS01\common\OE\Budget\FY2017\CJ%20-%20FY17\Other%20Exhibits\Pie%20Chart%20of%20where%20care%20recipient%20would%20live%20without%20NFCSP%20-2015%20NSOA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view3D>
      <c:rotX val="60"/>
      <c:rotY val="70"/>
      <c:rAngAx val="0"/>
      <c:perspective val="30"/>
    </c:view3D>
    <c:floor>
      <c:thickness val="0"/>
    </c:floor>
    <c:sideWall>
      <c:thickness val="0"/>
    </c:sideWall>
    <c:backWall>
      <c:thickness val="0"/>
    </c:backWall>
    <c:plotArea>
      <c:layout/>
      <c:pie3DChart>
        <c:varyColors val="1"/>
        <c:ser>
          <c:idx val="0"/>
          <c:order val="0"/>
          <c:tx>
            <c:v>Where Care Recipient Would Live if Unable to have Caregiver's Support Services</c:v>
          </c:tx>
          <c:explosion val="11"/>
          <c:dPt>
            <c:idx val="3"/>
            <c:bubble3D val="0"/>
            <c:explosion val="10"/>
          </c:dPt>
          <c:dLbls>
            <c:dLbl>
              <c:idx val="0"/>
              <c:layout>
                <c:manualLayout>
                  <c:x val="6.9891003207932338E-3"/>
                  <c:y val="-1.7779196519354001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1.948294874599019E-2"/>
                  <c:y val="-1.8357629282826065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11459381379410907"/>
                  <c:y val="-4.1954257407013314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5.5135080097746404E-2"/>
                  <c:y val="8.9967920676582089E-3"/>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1.1278570647419073E-2"/>
                  <c:y val="-6.2004327161807475E-2"/>
                </c:manualLayout>
              </c:layout>
              <c:tx>
                <c:rich>
                  <a:bodyPr/>
                  <a:lstStyle/>
                  <a:p>
                    <a:r>
                      <a:rPr lang="en-US" sz="1000"/>
                      <a:t>Deceased, 1.26%</a:t>
                    </a:r>
                    <a:endParaRPr lang="en-US"/>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3.9625663710139682E-2"/>
                  <c:y val="-1.2710216778458249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'WesDaX_Report (1)'!$A$11:$A$16</c:f>
              <c:strCache>
                <c:ptCount val="6"/>
                <c:pt idx="0">
                  <c:v>Caregiver's Home</c:v>
                </c:pt>
                <c:pt idx="1">
                  <c:v>Home Of Another Family Mem/Friend</c:v>
                </c:pt>
                <c:pt idx="2">
                  <c:v>Assisted Living Facility</c:v>
                </c:pt>
                <c:pt idx="3">
                  <c:v>Nursing Home</c:v>
                </c:pt>
                <c:pt idx="4">
                  <c:v>Deceased</c:v>
                </c:pt>
                <c:pt idx="5">
                  <c:v>Other</c:v>
                </c:pt>
              </c:strCache>
            </c:strRef>
          </c:cat>
          <c:val>
            <c:numRef>
              <c:f>'WesDaX_Report (1)'!$C$11:$C$16</c:f>
              <c:numCache>
                <c:formatCode>0.00%</c:formatCode>
                <c:ptCount val="6"/>
                <c:pt idx="0">
                  <c:v>7.3700000000000002E-2</c:v>
                </c:pt>
                <c:pt idx="1">
                  <c:v>6.59E-2</c:v>
                </c:pt>
                <c:pt idx="2">
                  <c:v>0.18429999999999999</c:v>
                </c:pt>
                <c:pt idx="3">
                  <c:v>0.61909999999999998</c:v>
                </c:pt>
                <c:pt idx="4">
                  <c:v>2.46E-2</c:v>
                </c:pt>
                <c:pt idx="5">
                  <c:v>3.27E-2</c:v>
                </c:pt>
              </c:numCache>
            </c:numRef>
          </c:val>
        </c:ser>
        <c:dLbls>
          <c:showLegendKey val="0"/>
          <c:showVal val="1"/>
          <c:showCatName val="0"/>
          <c:showSerName val="0"/>
          <c:showPercent val="0"/>
          <c:showBubbleSize val="0"/>
          <c:showLeaderLines val="1"/>
        </c:dLbls>
      </c:pie3DChart>
    </c:plotArea>
    <c:plotVisOnly val="1"/>
    <c:dispBlanksAs val="gap"/>
    <c:showDLblsOverMax val="0"/>
  </c:chart>
  <c:spPr>
    <a:effectLst>
      <a:outerShdw blurRad="381000" dist="25400" dir="5400000" algn="ctr" rotWithShape="0">
        <a:srgbClr val="000000">
          <a:alpha val="40000"/>
        </a:srgb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BB0F-55C0-417B-B67E-2D2E5A11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23923</Words>
  <Characters>136366</Characters>
  <Application>Microsoft Office Word</Application>
  <DocSecurity>12</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159970</CharactersWithSpaces>
  <SharedDoc>false</SharedDoc>
  <HLinks>
    <vt:vector size="414" baseType="variant">
      <vt:variant>
        <vt:i4>3080305</vt:i4>
      </vt:variant>
      <vt:variant>
        <vt:i4>204</vt:i4>
      </vt:variant>
      <vt:variant>
        <vt:i4>0</vt:i4>
      </vt:variant>
      <vt:variant>
        <vt:i4>5</vt:i4>
      </vt:variant>
      <vt:variant>
        <vt:lpwstr>http://www.pensionhelp.org/</vt:lpwstr>
      </vt:variant>
      <vt:variant>
        <vt:lpwstr/>
      </vt:variant>
      <vt:variant>
        <vt:i4>5832782</vt:i4>
      </vt:variant>
      <vt:variant>
        <vt:i4>201</vt:i4>
      </vt:variant>
      <vt:variant>
        <vt:i4>0</vt:i4>
      </vt:variant>
      <vt:variant>
        <vt:i4>5</vt:i4>
      </vt:variant>
      <vt:variant>
        <vt:lpwstr>http://www.nlrc.gov/</vt:lpwstr>
      </vt:variant>
      <vt:variant>
        <vt:lpwstr/>
      </vt:variant>
      <vt:variant>
        <vt:i4>6815770</vt:i4>
      </vt:variant>
      <vt:variant>
        <vt:i4>198</vt:i4>
      </vt:variant>
      <vt:variant>
        <vt:i4>0</vt:i4>
      </vt:variant>
      <vt:variant>
        <vt:i4>5</vt:i4>
      </vt:variant>
      <vt:variant>
        <vt:lpwstr>http://www.acl.gov/Get_Help/BrainHealth/Index.aspx</vt:lpwstr>
      </vt:variant>
      <vt:variant>
        <vt:lpwstr/>
      </vt:variant>
      <vt:variant>
        <vt:i4>1179705</vt:i4>
      </vt:variant>
      <vt:variant>
        <vt:i4>191</vt:i4>
      </vt:variant>
      <vt:variant>
        <vt:i4>0</vt:i4>
      </vt:variant>
      <vt:variant>
        <vt:i4>5</vt:i4>
      </vt:variant>
      <vt:variant>
        <vt:lpwstr/>
      </vt:variant>
      <vt:variant>
        <vt:lpwstr>_Toc436738898</vt:lpwstr>
      </vt:variant>
      <vt:variant>
        <vt:i4>1179705</vt:i4>
      </vt:variant>
      <vt:variant>
        <vt:i4>185</vt:i4>
      </vt:variant>
      <vt:variant>
        <vt:i4>0</vt:i4>
      </vt:variant>
      <vt:variant>
        <vt:i4>5</vt:i4>
      </vt:variant>
      <vt:variant>
        <vt:lpwstr/>
      </vt:variant>
      <vt:variant>
        <vt:lpwstr>_Toc436738897</vt:lpwstr>
      </vt:variant>
      <vt:variant>
        <vt:i4>1179705</vt:i4>
      </vt:variant>
      <vt:variant>
        <vt:i4>179</vt:i4>
      </vt:variant>
      <vt:variant>
        <vt:i4>0</vt:i4>
      </vt:variant>
      <vt:variant>
        <vt:i4>5</vt:i4>
      </vt:variant>
      <vt:variant>
        <vt:lpwstr/>
      </vt:variant>
      <vt:variant>
        <vt:lpwstr>_Toc436738896</vt:lpwstr>
      </vt:variant>
      <vt:variant>
        <vt:i4>1179705</vt:i4>
      </vt:variant>
      <vt:variant>
        <vt:i4>173</vt:i4>
      </vt:variant>
      <vt:variant>
        <vt:i4>0</vt:i4>
      </vt:variant>
      <vt:variant>
        <vt:i4>5</vt:i4>
      </vt:variant>
      <vt:variant>
        <vt:lpwstr/>
      </vt:variant>
      <vt:variant>
        <vt:lpwstr>_Toc436738895</vt:lpwstr>
      </vt:variant>
      <vt:variant>
        <vt:i4>1179705</vt:i4>
      </vt:variant>
      <vt:variant>
        <vt:i4>167</vt:i4>
      </vt:variant>
      <vt:variant>
        <vt:i4>0</vt:i4>
      </vt:variant>
      <vt:variant>
        <vt:i4>5</vt:i4>
      </vt:variant>
      <vt:variant>
        <vt:lpwstr/>
      </vt:variant>
      <vt:variant>
        <vt:lpwstr>_Toc436738894</vt:lpwstr>
      </vt:variant>
      <vt:variant>
        <vt:i4>1179705</vt:i4>
      </vt:variant>
      <vt:variant>
        <vt:i4>161</vt:i4>
      </vt:variant>
      <vt:variant>
        <vt:i4>0</vt:i4>
      </vt:variant>
      <vt:variant>
        <vt:i4>5</vt:i4>
      </vt:variant>
      <vt:variant>
        <vt:lpwstr/>
      </vt:variant>
      <vt:variant>
        <vt:lpwstr>_Toc436738893</vt:lpwstr>
      </vt:variant>
      <vt:variant>
        <vt:i4>1179705</vt:i4>
      </vt:variant>
      <vt:variant>
        <vt:i4>155</vt:i4>
      </vt:variant>
      <vt:variant>
        <vt:i4>0</vt:i4>
      </vt:variant>
      <vt:variant>
        <vt:i4>5</vt:i4>
      </vt:variant>
      <vt:variant>
        <vt:lpwstr/>
      </vt:variant>
      <vt:variant>
        <vt:lpwstr>_Toc436738892</vt:lpwstr>
      </vt:variant>
      <vt:variant>
        <vt:i4>1179705</vt:i4>
      </vt:variant>
      <vt:variant>
        <vt:i4>149</vt:i4>
      </vt:variant>
      <vt:variant>
        <vt:i4>0</vt:i4>
      </vt:variant>
      <vt:variant>
        <vt:i4>5</vt:i4>
      </vt:variant>
      <vt:variant>
        <vt:lpwstr/>
      </vt:variant>
      <vt:variant>
        <vt:lpwstr>_Toc436738891</vt:lpwstr>
      </vt:variant>
      <vt:variant>
        <vt:i4>1179705</vt:i4>
      </vt:variant>
      <vt:variant>
        <vt:i4>143</vt:i4>
      </vt:variant>
      <vt:variant>
        <vt:i4>0</vt:i4>
      </vt:variant>
      <vt:variant>
        <vt:i4>5</vt:i4>
      </vt:variant>
      <vt:variant>
        <vt:lpwstr/>
      </vt:variant>
      <vt:variant>
        <vt:lpwstr>_Toc436738890</vt:lpwstr>
      </vt:variant>
      <vt:variant>
        <vt:i4>1245241</vt:i4>
      </vt:variant>
      <vt:variant>
        <vt:i4>137</vt:i4>
      </vt:variant>
      <vt:variant>
        <vt:i4>0</vt:i4>
      </vt:variant>
      <vt:variant>
        <vt:i4>5</vt:i4>
      </vt:variant>
      <vt:variant>
        <vt:lpwstr/>
      </vt:variant>
      <vt:variant>
        <vt:lpwstr>_Toc436738889</vt:lpwstr>
      </vt:variant>
      <vt:variant>
        <vt:i4>1245241</vt:i4>
      </vt:variant>
      <vt:variant>
        <vt:i4>131</vt:i4>
      </vt:variant>
      <vt:variant>
        <vt:i4>0</vt:i4>
      </vt:variant>
      <vt:variant>
        <vt:i4>5</vt:i4>
      </vt:variant>
      <vt:variant>
        <vt:lpwstr/>
      </vt:variant>
      <vt:variant>
        <vt:lpwstr>_Toc436738888</vt:lpwstr>
      </vt:variant>
      <vt:variant>
        <vt:i4>1245241</vt:i4>
      </vt:variant>
      <vt:variant>
        <vt:i4>125</vt:i4>
      </vt:variant>
      <vt:variant>
        <vt:i4>0</vt:i4>
      </vt:variant>
      <vt:variant>
        <vt:i4>5</vt:i4>
      </vt:variant>
      <vt:variant>
        <vt:lpwstr/>
      </vt:variant>
      <vt:variant>
        <vt:lpwstr>_Toc436738887</vt:lpwstr>
      </vt:variant>
      <vt:variant>
        <vt:i4>1245241</vt:i4>
      </vt:variant>
      <vt:variant>
        <vt:i4>119</vt:i4>
      </vt:variant>
      <vt:variant>
        <vt:i4>0</vt:i4>
      </vt:variant>
      <vt:variant>
        <vt:i4>5</vt:i4>
      </vt:variant>
      <vt:variant>
        <vt:lpwstr/>
      </vt:variant>
      <vt:variant>
        <vt:lpwstr>_Toc436738886</vt:lpwstr>
      </vt:variant>
      <vt:variant>
        <vt:i4>1245241</vt:i4>
      </vt:variant>
      <vt:variant>
        <vt:i4>113</vt:i4>
      </vt:variant>
      <vt:variant>
        <vt:i4>0</vt:i4>
      </vt:variant>
      <vt:variant>
        <vt:i4>5</vt:i4>
      </vt:variant>
      <vt:variant>
        <vt:lpwstr/>
      </vt:variant>
      <vt:variant>
        <vt:lpwstr>_Toc436738885</vt:lpwstr>
      </vt:variant>
      <vt:variant>
        <vt:i4>1245241</vt:i4>
      </vt:variant>
      <vt:variant>
        <vt:i4>107</vt:i4>
      </vt:variant>
      <vt:variant>
        <vt:i4>0</vt:i4>
      </vt:variant>
      <vt:variant>
        <vt:i4>5</vt:i4>
      </vt:variant>
      <vt:variant>
        <vt:lpwstr/>
      </vt:variant>
      <vt:variant>
        <vt:lpwstr>_Toc436738884</vt:lpwstr>
      </vt:variant>
      <vt:variant>
        <vt:i4>1245241</vt:i4>
      </vt:variant>
      <vt:variant>
        <vt:i4>101</vt:i4>
      </vt:variant>
      <vt:variant>
        <vt:i4>0</vt:i4>
      </vt:variant>
      <vt:variant>
        <vt:i4>5</vt:i4>
      </vt:variant>
      <vt:variant>
        <vt:lpwstr/>
      </vt:variant>
      <vt:variant>
        <vt:lpwstr>_Toc436738883</vt:lpwstr>
      </vt:variant>
      <vt:variant>
        <vt:i4>1245241</vt:i4>
      </vt:variant>
      <vt:variant>
        <vt:i4>95</vt:i4>
      </vt:variant>
      <vt:variant>
        <vt:i4>0</vt:i4>
      </vt:variant>
      <vt:variant>
        <vt:i4>5</vt:i4>
      </vt:variant>
      <vt:variant>
        <vt:lpwstr/>
      </vt:variant>
      <vt:variant>
        <vt:lpwstr>_Toc436738882</vt:lpwstr>
      </vt:variant>
      <vt:variant>
        <vt:i4>1245241</vt:i4>
      </vt:variant>
      <vt:variant>
        <vt:i4>89</vt:i4>
      </vt:variant>
      <vt:variant>
        <vt:i4>0</vt:i4>
      </vt:variant>
      <vt:variant>
        <vt:i4>5</vt:i4>
      </vt:variant>
      <vt:variant>
        <vt:lpwstr/>
      </vt:variant>
      <vt:variant>
        <vt:lpwstr>_Toc436738881</vt:lpwstr>
      </vt:variant>
      <vt:variant>
        <vt:i4>1245241</vt:i4>
      </vt:variant>
      <vt:variant>
        <vt:i4>83</vt:i4>
      </vt:variant>
      <vt:variant>
        <vt:i4>0</vt:i4>
      </vt:variant>
      <vt:variant>
        <vt:i4>5</vt:i4>
      </vt:variant>
      <vt:variant>
        <vt:lpwstr/>
      </vt:variant>
      <vt:variant>
        <vt:lpwstr>_Toc436738880</vt:lpwstr>
      </vt:variant>
      <vt:variant>
        <vt:i4>1835065</vt:i4>
      </vt:variant>
      <vt:variant>
        <vt:i4>77</vt:i4>
      </vt:variant>
      <vt:variant>
        <vt:i4>0</vt:i4>
      </vt:variant>
      <vt:variant>
        <vt:i4>5</vt:i4>
      </vt:variant>
      <vt:variant>
        <vt:lpwstr/>
      </vt:variant>
      <vt:variant>
        <vt:lpwstr>_Toc436738879</vt:lpwstr>
      </vt:variant>
      <vt:variant>
        <vt:i4>1835065</vt:i4>
      </vt:variant>
      <vt:variant>
        <vt:i4>71</vt:i4>
      </vt:variant>
      <vt:variant>
        <vt:i4>0</vt:i4>
      </vt:variant>
      <vt:variant>
        <vt:i4>5</vt:i4>
      </vt:variant>
      <vt:variant>
        <vt:lpwstr/>
      </vt:variant>
      <vt:variant>
        <vt:lpwstr>_Toc436738878</vt:lpwstr>
      </vt:variant>
      <vt:variant>
        <vt:i4>1835065</vt:i4>
      </vt:variant>
      <vt:variant>
        <vt:i4>65</vt:i4>
      </vt:variant>
      <vt:variant>
        <vt:i4>0</vt:i4>
      </vt:variant>
      <vt:variant>
        <vt:i4>5</vt:i4>
      </vt:variant>
      <vt:variant>
        <vt:lpwstr/>
      </vt:variant>
      <vt:variant>
        <vt:lpwstr>_Toc436738877</vt:lpwstr>
      </vt:variant>
      <vt:variant>
        <vt:i4>1835065</vt:i4>
      </vt:variant>
      <vt:variant>
        <vt:i4>59</vt:i4>
      </vt:variant>
      <vt:variant>
        <vt:i4>0</vt:i4>
      </vt:variant>
      <vt:variant>
        <vt:i4>5</vt:i4>
      </vt:variant>
      <vt:variant>
        <vt:lpwstr/>
      </vt:variant>
      <vt:variant>
        <vt:lpwstr>_Toc436738876</vt:lpwstr>
      </vt:variant>
      <vt:variant>
        <vt:i4>1835065</vt:i4>
      </vt:variant>
      <vt:variant>
        <vt:i4>53</vt:i4>
      </vt:variant>
      <vt:variant>
        <vt:i4>0</vt:i4>
      </vt:variant>
      <vt:variant>
        <vt:i4>5</vt:i4>
      </vt:variant>
      <vt:variant>
        <vt:lpwstr/>
      </vt:variant>
      <vt:variant>
        <vt:lpwstr>_Toc436738875</vt:lpwstr>
      </vt:variant>
      <vt:variant>
        <vt:i4>1835065</vt:i4>
      </vt:variant>
      <vt:variant>
        <vt:i4>47</vt:i4>
      </vt:variant>
      <vt:variant>
        <vt:i4>0</vt:i4>
      </vt:variant>
      <vt:variant>
        <vt:i4>5</vt:i4>
      </vt:variant>
      <vt:variant>
        <vt:lpwstr/>
      </vt:variant>
      <vt:variant>
        <vt:lpwstr>_Toc436738874</vt:lpwstr>
      </vt:variant>
      <vt:variant>
        <vt:i4>1835065</vt:i4>
      </vt:variant>
      <vt:variant>
        <vt:i4>41</vt:i4>
      </vt:variant>
      <vt:variant>
        <vt:i4>0</vt:i4>
      </vt:variant>
      <vt:variant>
        <vt:i4>5</vt:i4>
      </vt:variant>
      <vt:variant>
        <vt:lpwstr/>
      </vt:variant>
      <vt:variant>
        <vt:lpwstr>_Toc436738873</vt:lpwstr>
      </vt:variant>
      <vt:variant>
        <vt:i4>1835065</vt:i4>
      </vt:variant>
      <vt:variant>
        <vt:i4>35</vt:i4>
      </vt:variant>
      <vt:variant>
        <vt:i4>0</vt:i4>
      </vt:variant>
      <vt:variant>
        <vt:i4>5</vt:i4>
      </vt:variant>
      <vt:variant>
        <vt:lpwstr/>
      </vt:variant>
      <vt:variant>
        <vt:lpwstr>_Toc436738872</vt:lpwstr>
      </vt:variant>
      <vt:variant>
        <vt:i4>1835065</vt:i4>
      </vt:variant>
      <vt:variant>
        <vt:i4>29</vt:i4>
      </vt:variant>
      <vt:variant>
        <vt:i4>0</vt:i4>
      </vt:variant>
      <vt:variant>
        <vt:i4>5</vt:i4>
      </vt:variant>
      <vt:variant>
        <vt:lpwstr/>
      </vt:variant>
      <vt:variant>
        <vt:lpwstr>_Toc436738871</vt:lpwstr>
      </vt:variant>
      <vt:variant>
        <vt:i4>1835065</vt:i4>
      </vt:variant>
      <vt:variant>
        <vt:i4>23</vt:i4>
      </vt:variant>
      <vt:variant>
        <vt:i4>0</vt:i4>
      </vt:variant>
      <vt:variant>
        <vt:i4>5</vt:i4>
      </vt:variant>
      <vt:variant>
        <vt:lpwstr/>
      </vt:variant>
      <vt:variant>
        <vt:lpwstr>_Toc436738870</vt:lpwstr>
      </vt:variant>
      <vt:variant>
        <vt:i4>1900601</vt:i4>
      </vt:variant>
      <vt:variant>
        <vt:i4>17</vt:i4>
      </vt:variant>
      <vt:variant>
        <vt:i4>0</vt:i4>
      </vt:variant>
      <vt:variant>
        <vt:i4>5</vt:i4>
      </vt:variant>
      <vt:variant>
        <vt:lpwstr/>
      </vt:variant>
      <vt:variant>
        <vt:lpwstr>_Toc436738869</vt:lpwstr>
      </vt:variant>
      <vt:variant>
        <vt:i4>1900601</vt:i4>
      </vt:variant>
      <vt:variant>
        <vt:i4>11</vt:i4>
      </vt:variant>
      <vt:variant>
        <vt:i4>0</vt:i4>
      </vt:variant>
      <vt:variant>
        <vt:i4>5</vt:i4>
      </vt:variant>
      <vt:variant>
        <vt:lpwstr/>
      </vt:variant>
      <vt:variant>
        <vt:lpwstr>_Toc436738868</vt:lpwstr>
      </vt:variant>
      <vt:variant>
        <vt:i4>1900601</vt:i4>
      </vt:variant>
      <vt:variant>
        <vt:i4>5</vt:i4>
      </vt:variant>
      <vt:variant>
        <vt:i4>0</vt:i4>
      </vt:variant>
      <vt:variant>
        <vt:i4>5</vt:i4>
      </vt:variant>
      <vt:variant>
        <vt:lpwstr/>
      </vt:variant>
      <vt:variant>
        <vt:lpwstr>_Toc436738867</vt:lpwstr>
      </vt:variant>
      <vt:variant>
        <vt:i4>1638517</vt:i4>
      </vt:variant>
      <vt:variant>
        <vt:i4>108</vt:i4>
      </vt:variant>
      <vt:variant>
        <vt:i4>0</vt:i4>
      </vt:variant>
      <vt:variant>
        <vt:i4>5</vt:i4>
      </vt:variant>
      <vt:variant>
        <vt:lpwstr>http://www.aarp.org/research/surveys/care/ltc/hc/articles/caregiving_09.html</vt:lpwstr>
      </vt:variant>
      <vt:variant>
        <vt:lpwstr/>
      </vt:variant>
      <vt:variant>
        <vt:i4>79</vt:i4>
      </vt:variant>
      <vt:variant>
        <vt:i4>105</vt:i4>
      </vt:variant>
      <vt:variant>
        <vt:i4>0</vt:i4>
      </vt:variant>
      <vt:variant>
        <vt:i4>5</vt:i4>
      </vt:variant>
      <vt:variant>
        <vt:lpwstr>http://www.agid.acl.gov/</vt:lpwstr>
      </vt:variant>
      <vt:variant>
        <vt:lpwstr/>
      </vt:variant>
      <vt:variant>
        <vt:i4>79</vt:i4>
      </vt:variant>
      <vt:variant>
        <vt:i4>102</vt:i4>
      </vt:variant>
      <vt:variant>
        <vt:i4>0</vt:i4>
      </vt:variant>
      <vt:variant>
        <vt:i4>5</vt:i4>
      </vt:variant>
      <vt:variant>
        <vt:lpwstr>http://www.agid.acl.gov/</vt:lpwstr>
      </vt:variant>
      <vt:variant>
        <vt:lpwstr/>
      </vt:variant>
      <vt:variant>
        <vt:i4>79</vt:i4>
      </vt:variant>
      <vt:variant>
        <vt:i4>99</vt:i4>
      </vt:variant>
      <vt:variant>
        <vt:i4>0</vt:i4>
      </vt:variant>
      <vt:variant>
        <vt:i4>5</vt:i4>
      </vt:variant>
      <vt:variant>
        <vt:lpwstr>http://www.agid.acl.gov/</vt:lpwstr>
      </vt:variant>
      <vt:variant>
        <vt:lpwstr/>
      </vt:variant>
      <vt:variant>
        <vt:i4>5505038</vt:i4>
      </vt:variant>
      <vt:variant>
        <vt:i4>96</vt:i4>
      </vt:variant>
      <vt:variant>
        <vt:i4>0</vt:i4>
      </vt:variant>
      <vt:variant>
        <vt:i4>5</vt:i4>
      </vt:variant>
      <vt:variant>
        <vt:lpwstr>http://www.cms.gov/Research-Statistics-Data-and-Systems/Research/MCBS/Data-Tables-Items/2012CNP.html</vt:lpwstr>
      </vt:variant>
      <vt:variant>
        <vt:lpwstr/>
      </vt:variant>
      <vt:variant>
        <vt:i4>2031682</vt:i4>
      </vt:variant>
      <vt:variant>
        <vt:i4>93</vt:i4>
      </vt:variant>
      <vt:variant>
        <vt:i4>0</vt:i4>
      </vt:variant>
      <vt:variant>
        <vt:i4>5</vt:i4>
      </vt:variant>
      <vt:variant>
        <vt:lpwstr>http://www.census.gov/population/projections/data/national/2014/downloadablefiles.html. Accessed 08 January 2015</vt:lpwstr>
      </vt:variant>
      <vt:variant>
        <vt:lpwstr/>
      </vt:variant>
      <vt:variant>
        <vt:i4>79</vt:i4>
      </vt:variant>
      <vt:variant>
        <vt:i4>90</vt:i4>
      </vt:variant>
      <vt:variant>
        <vt:i4>0</vt:i4>
      </vt:variant>
      <vt:variant>
        <vt:i4>5</vt:i4>
      </vt:variant>
      <vt:variant>
        <vt:lpwstr>http://www.agid.acl.gov/</vt:lpwstr>
      </vt:variant>
      <vt:variant>
        <vt:lpwstr/>
      </vt:variant>
      <vt:variant>
        <vt:i4>6684789</vt:i4>
      </vt:variant>
      <vt:variant>
        <vt:i4>87</vt:i4>
      </vt:variant>
      <vt:variant>
        <vt:i4>0</vt:i4>
      </vt:variant>
      <vt:variant>
        <vt:i4>5</vt:i4>
      </vt:variant>
      <vt:variant>
        <vt:lpwstr>http://www.aarp.org/content/dam/aarp/research/public_policy_institute/health/home-alone-family-caregivers-providing-complex-chronic-care-rev-AARP-ppi-health.pdf</vt:lpwstr>
      </vt:variant>
      <vt:variant>
        <vt:lpwstr/>
      </vt:variant>
      <vt:variant>
        <vt:i4>589851</vt:i4>
      </vt:variant>
      <vt:variant>
        <vt:i4>84</vt:i4>
      </vt:variant>
      <vt:variant>
        <vt:i4>0</vt:i4>
      </vt:variant>
      <vt:variant>
        <vt:i4>5</vt:i4>
      </vt:variant>
      <vt:variant>
        <vt:lpwstr>http://www.aarp.org/ppi/info-2015/valuing-the-invaluable-2015-update.html</vt:lpwstr>
      </vt:variant>
      <vt:variant>
        <vt:lpwstr/>
      </vt:variant>
      <vt:variant>
        <vt:i4>3145845</vt:i4>
      </vt:variant>
      <vt:variant>
        <vt:i4>81</vt:i4>
      </vt:variant>
      <vt:variant>
        <vt:i4>0</vt:i4>
      </vt:variant>
      <vt:variant>
        <vt:i4>5</vt:i4>
      </vt:variant>
      <vt:variant>
        <vt:lpwstr>http://www.caregiving.org/pdf/research/FINALRegularExSum50plus.pdf</vt:lpwstr>
      </vt:variant>
      <vt:variant>
        <vt:lpwstr/>
      </vt:variant>
      <vt:variant>
        <vt:i4>6160412</vt:i4>
      </vt:variant>
      <vt:variant>
        <vt:i4>78</vt:i4>
      </vt:variant>
      <vt:variant>
        <vt:i4>0</vt:i4>
      </vt:variant>
      <vt:variant>
        <vt:i4>5</vt:i4>
      </vt:variant>
      <vt:variant>
        <vt:lpwstr>http://www.pearlsprogram.org/</vt:lpwstr>
      </vt:variant>
      <vt:variant>
        <vt:lpwstr/>
      </vt:variant>
      <vt:variant>
        <vt:i4>6488161</vt:i4>
      </vt:variant>
      <vt:variant>
        <vt:i4>75</vt:i4>
      </vt:variant>
      <vt:variant>
        <vt:i4>0</vt:i4>
      </vt:variant>
      <vt:variant>
        <vt:i4>5</vt:i4>
      </vt:variant>
      <vt:variant>
        <vt:lpwstr>http://www.acl.gov/Programs/CDAP/OPE/ADEPP.aspx</vt:lpwstr>
      </vt:variant>
      <vt:variant>
        <vt:lpwstr/>
      </vt:variant>
      <vt:variant>
        <vt:i4>3473453</vt:i4>
      </vt:variant>
      <vt:variant>
        <vt:i4>72</vt:i4>
      </vt:variant>
      <vt:variant>
        <vt:i4>0</vt:i4>
      </vt:variant>
      <vt:variant>
        <vt:i4>5</vt:i4>
      </vt:variant>
      <vt:variant>
        <vt:lpwstr>http://www.ncbi.nlm.nih.gov/pubmed/12383144</vt:lpwstr>
      </vt:variant>
      <vt:variant>
        <vt:lpwstr/>
      </vt:variant>
      <vt:variant>
        <vt:i4>8192127</vt:i4>
      </vt:variant>
      <vt:variant>
        <vt:i4>69</vt:i4>
      </vt:variant>
      <vt:variant>
        <vt:i4>0</vt:i4>
      </vt:variant>
      <vt:variant>
        <vt:i4>5</vt:i4>
      </vt:variant>
      <vt:variant>
        <vt:lpwstr>http://www.census.gov/population/projections/data/national/2014/downloadablefiles.html</vt:lpwstr>
      </vt:variant>
      <vt:variant>
        <vt:lpwstr/>
      </vt:variant>
      <vt:variant>
        <vt:i4>3932217</vt:i4>
      </vt:variant>
      <vt:variant>
        <vt:i4>66</vt:i4>
      </vt:variant>
      <vt:variant>
        <vt:i4>0</vt:i4>
      </vt:variant>
      <vt:variant>
        <vt:i4>5</vt:i4>
      </vt:variant>
      <vt:variant>
        <vt:lpwstr>http://www.cdc.gov/nchs/hus.htm</vt:lpwstr>
      </vt:variant>
      <vt:variant>
        <vt:lpwstr/>
      </vt:variant>
      <vt:variant>
        <vt:i4>79</vt:i4>
      </vt:variant>
      <vt:variant>
        <vt:i4>63</vt:i4>
      </vt:variant>
      <vt:variant>
        <vt:i4>0</vt:i4>
      </vt:variant>
      <vt:variant>
        <vt:i4>5</vt:i4>
      </vt:variant>
      <vt:variant>
        <vt:lpwstr>http://www.agid.acl.gov/</vt:lpwstr>
      </vt:variant>
      <vt:variant>
        <vt:lpwstr/>
      </vt:variant>
      <vt:variant>
        <vt:i4>79</vt:i4>
      </vt:variant>
      <vt:variant>
        <vt:i4>60</vt:i4>
      </vt:variant>
      <vt:variant>
        <vt:i4>0</vt:i4>
      </vt:variant>
      <vt:variant>
        <vt:i4>5</vt:i4>
      </vt:variant>
      <vt:variant>
        <vt:lpwstr>http://www.agid.acl.gov/</vt:lpwstr>
      </vt:variant>
      <vt:variant>
        <vt:lpwstr/>
      </vt:variant>
      <vt:variant>
        <vt:i4>3539044</vt:i4>
      </vt:variant>
      <vt:variant>
        <vt:i4>57</vt:i4>
      </vt:variant>
      <vt:variant>
        <vt:i4>0</vt:i4>
      </vt:variant>
      <vt:variant>
        <vt:i4>5</vt:i4>
      </vt:variant>
      <vt:variant>
        <vt:lpwstr>http://onlinelibrary.wiley.com/doi/10.1111/1475-6773.12015/abstract</vt:lpwstr>
      </vt:variant>
      <vt:variant>
        <vt:lpwstr/>
      </vt:variant>
      <vt:variant>
        <vt:i4>79</vt:i4>
      </vt:variant>
      <vt:variant>
        <vt:i4>54</vt:i4>
      </vt:variant>
      <vt:variant>
        <vt:i4>0</vt:i4>
      </vt:variant>
      <vt:variant>
        <vt:i4>5</vt:i4>
      </vt:variant>
      <vt:variant>
        <vt:lpwstr>http://www.agid.acl.gov/</vt:lpwstr>
      </vt:variant>
      <vt:variant>
        <vt:lpwstr/>
      </vt:variant>
      <vt:variant>
        <vt:i4>79</vt:i4>
      </vt:variant>
      <vt:variant>
        <vt:i4>51</vt:i4>
      </vt:variant>
      <vt:variant>
        <vt:i4>0</vt:i4>
      </vt:variant>
      <vt:variant>
        <vt:i4>5</vt:i4>
      </vt:variant>
      <vt:variant>
        <vt:lpwstr>http://www.agid.acl.gov/</vt:lpwstr>
      </vt:variant>
      <vt:variant>
        <vt:lpwstr/>
      </vt:variant>
      <vt:variant>
        <vt:i4>4259848</vt:i4>
      </vt:variant>
      <vt:variant>
        <vt:i4>48</vt:i4>
      </vt:variant>
      <vt:variant>
        <vt:i4>0</vt:i4>
      </vt:variant>
      <vt:variant>
        <vt:i4>5</vt:i4>
      </vt:variant>
      <vt:variant>
        <vt:lpwstr>http://www.census.gov/popest/data/index.html</vt:lpwstr>
      </vt:variant>
      <vt:variant>
        <vt:lpwstr/>
      </vt:variant>
      <vt:variant>
        <vt:i4>79</vt:i4>
      </vt:variant>
      <vt:variant>
        <vt:i4>36</vt:i4>
      </vt:variant>
      <vt:variant>
        <vt:i4>0</vt:i4>
      </vt:variant>
      <vt:variant>
        <vt:i4>5</vt:i4>
      </vt:variant>
      <vt:variant>
        <vt:lpwstr>http://www.agid.acl.gov/</vt:lpwstr>
      </vt:variant>
      <vt:variant>
        <vt:lpwstr/>
      </vt:variant>
      <vt:variant>
        <vt:i4>79</vt:i4>
      </vt:variant>
      <vt:variant>
        <vt:i4>33</vt:i4>
      </vt:variant>
      <vt:variant>
        <vt:i4>0</vt:i4>
      </vt:variant>
      <vt:variant>
        <vt:i4>5</vt:i4>
      </vt:variant>
      <vt:variant>
        <vt:lpwstr>http://www.agid.acl.gov/</vt:lpwstr>
      </vt:variant>
      <vt:variant>
        <vt:lpwstr/>
      </vt:variant>
      <vt:variant>
        <vt:i4>79</vt:i4>
      </vt:variant>
      <vt:variant>
        <vt:i4>30</vt:i4>
      </vt:variant>
      <vt:variant>
        <vt:i4>0</vt:i4>
      </vt:variant>
      <vt:variant>
        <vt:i4>5</vt:i4>
      </vt:variant>
      <vt:variant>
        <vt:lpwstr>http://www.agid.acl.gov/</vt:lpwstr>
      </vt:variant>
      <vt:variant>
        <vt:lpwstr/>
      </vt:variant>
      <vt:variant>
        <vt:i4>5505038</vt:i4>
      </vt:variant>
      <vt:variant>
        <vt:i4>27</vt:i4>
      </vt:variant>
      <vt:variant>
        <vt:i4>0</vt:i4>
      </vt:variant>
      <vt:variant>
        <vt:i4>5</vt:i4>
      </vt:variant>
      <vt:variant>
        <vt:lpwstr>http://www.cms.gov/Research-Statistics-Data-and-Systems/Research/MCBS/Data-Tables-Items/2012CNP.html</vt:lpwstr>
      </vt:variant>
      <vt:variant>
        <vt:lpwstr/>
      </vt:variant>
      <vt:variant>
        <vt:i4>5505038</vt:i4>
      </vt:variant>
      <vt:variant>
        <vt:i4>24</vt:i4>
      </vt:variant>
      <vt:variant>
        <vt:i4>0</vt:i4>
      </vt:variant>
      <vt:variant>
        <vt:i4>5</vt:i4>
      </vt:variant>
      <vt:variant>
        <vt:lpwstr>http://www.cms.gov/Research-Statistics-Data-and-Systems/Research/MCBS/Data-Tables-Items/2012CNP.html</vt:lpwstr>
      </vt:variant>
      <vt:variant>
        <vt:lpwstr/>
      </vt:variant>
      <vt:variant>
        <vt:i4>5505038</vt:i4>
      </vt:variant>
      <vt:variant>
        <vt:i4>21</vt:i4>
      </vt:variant>
      <vt:variant>
        <vt:i4>0</vt:i4>
      </vt:variant>
      <vt:variant>
        <vt:i4>5</vt:i4>
      </vt:variant>
      <vt:variant>
        <vt:lpwstr>http://www.cms.gov/Research-Statistics-Data-and-Systems/Research/MCBS/Data-Tables-Items/2012CNP.html</vt:lpwstr>
      </vt:variant>
      <vt:variant>
        <vt:lpwstr/>
      </vt:variant>
      <vt:variant>
        <vt:i4>8192127</vt:i4>
      </vt:variant>
      <vt:variant>
        <vt:i4>18</vt:i4>
      </vt:variant>
      <vt:variant>
        <vt:i4>0</vt:i4>
      </vt:variant>
      <vt:variant>
        <vt:i4>5</vt:i4>
      </vt:variant>
      <vt:variant>
        <vt:lpwstr>http://www.census.gov/population/projections/data/national/2014/downloadablefiles.html</vt:lpwstr>
      </vt:variant>
      <vt:variant>
        <vt:lpwstr/>
      </vt:variant>
      <vt:variant>
        <vt:i4>4259848</vt:i4>
      </vt:variant>
      <vt:variant>
        <vt:i4>15</vt:i4>
      </vt:variant>
      <vt:variant>
        <vt:i4>0</vt:i4>
      </vt:variant>
      <vt:variant>
        <vt:i4>5</vt:i4>
      </vt:variant>
      <vt:variant>
        <vt:lpwstr>http://www.census.gov/popest/data/index.html</vt:lpwstr>
      </vt:variant>
      <vt:variant>
        <vt:lpwstr/>
      </vt:variant>
      <vt:variant>
        <vt:i4>79</vt:i4>
      </vt:variant>
      <vt:variant>
        <vt:i4>12</vt:i4>
      </vt:variant>
      <vt:variant>
        <vt:i4>0</vt:i4>
      </vt:variant>
      <vt:variant>
        <vt:i4>5</vt:i4>
      </vt:variant>
      <vt:variant>
        <vt:lpwstr>http://www.agid.acl.gov/</vt:lpwstr>
      </vt:variant>
      <vt:variant>
        <vt:lpwstr/>
      </vt:variant>
      <vt:variant>
        <vt:i4>79</vt:i4>
      </vt:variant>
      <vt:variant>
        <vt:i4>9</vt:i4>
      </vt:variant>
      <vt:variant>
        <vt:i4>0</vt:i4>
      </vt:variant>
      <vt:variant>
        <vt:i4>5</vt:i4>
      </vt:variant>
      <vt:variant>
        <vt:lpwstr>http://www.agid.acl.gov/</vt:lpwstr>
      </vt:variant>
      <vt:variant>
        <vt:lpwstr/>
      </vt:variant>
      <vt:variant>
        <vt:i4>5505038</vt:i4>
      </vt:variant>
      <vt:variant>
        <vt:i4>6</vt:i4>
      </vt:variant>
      <vt:variant>
        <vt:i4>0</vt:i4>
      </vt:variant>
      <vt:variant>
        <vt:i4>5</vt:i4>
      </vt:variant>
      <vt:variant>
        <vt:lpwstr>http://www.cms.gov/Research-Statistics-Data-and-Systems/Research/MCBS/Data-Tables-Items/2012CNP.html</vt:lpwstr>
      </vt:variant>
      <vt:variant>
        <vt:lpwstr/>
      </vt:variant>
      <vt:variant>
        <vt:i4>8192127</vt:i4>
      </vt:variant>
      <vt:variant>
        <vt:i4>3</vt:i4>
      </vt:variant>
      <vt:variant>
        <vt:i4>0</vt:i4>
      </vt:variant>
      <vt:variant>
        <vt:i4>5</vt:i4>
      </vt:variant>
      <vt:variant>
        <vt:lpwstr>http://www.census.gov/population/projections/data/national/2014/downloadablefiles.html</vt:lpwstr>
      </vt:variant>
      <vt:variant>
        <vt:lpwstr/>
      </vt:variant>
      <vt:variant>
        <vt:i4>4259848</vt:i4>
      </vt:variant>
      <vt:variant>
        <vt:i4>0</vt:i4>
      </vt:variant>
      <vt:variant>
        <vt:i4>0</vt:i4>
      </vt:variant>
      <vt:variant>
        <vt:i4>5</vt:i4>
      </vt:variant>
      <vt:variant>
        <vt:lpwstr>http://www.census.gov/popest/data/index.html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Windows User</cp:lastModifiedBy>
  <cp:revision>2</cp:revision>
  <cp:lastPrinted>2017-01-10T13:53:00Z</cp:lastPrinted>
  <dcterms:created xsi:type="dcterms:W3CDTF">2017-02-02T13:41:00Z</dcterms:created>
  <dcterms:modified xsi:type="dcterms:W3CDTF">2017-02-02T13:41:00Z</dcterms:modified>
</cp:coreProperties>
</file>