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949B7" w14:textId="00B52712" w:rsidR="00D11A4D" w:rsidRPr="002E3B47" w:rsidRDefault="00C34494" w:rsidP="00A01C01">
      <w:pPr>
        <w:pStyle w:val="Title"/>
      </w:pPr>
      <w:bookmarkStart w:id="0" w:name="_GoBack"/>
      <w:bookmarkEnd w:id="0"/>
      <w:r>
        <w:t>Fiscal faq: Major disaster declaration</w:t>
      </w:r>
    </w:p>
    <w:p w14:paraId="0B20225B" w14:textId="15138314" w:rsidR="0028282F" w:rsidRPr="002E3B47" w:rsidRDefault="00C34494" w:rsidP="002E3B47">
      <w:pPr>
        <w:pStyle w:val="Subtitle"/>
      </w:pPr>
      <w:r>
        <w:t xml:space="preserve">Older Americans Act Fiscal FAQ </w:t>
      </w:r>
      <w:proofErr w:type="gramStart"/>
      <w:r>
        <w:t>Under</w:t>
      </w:r>
      <w:proofErr w:type="gramEnd"/>
      <w:r>
        <w:t xml:space="preserve"> a Major Disaster Declaration</w:t>
      </w:r>
    </w:p>
    <w:p w14:paraId="59DA3624" w14:textId="0F990B87" w:rsidR="00F01057" w:rsidRDefault="00333201" w:rsidP="005C1FE3">
      <w:pPr>
        <w:spacing w:after="360"/>
        <w:rPr>
          <w:rStyle w:val="SubtleEmphasis"/>
        </w:rPr>
      </w:pPr>
      <w:r>
        <w:rPr>
          <w:rStyle w:val="SubtleEmphasis"/>
        </w:rPr>
        <w:t xml:space="preserve">April </w:t>
      </w:r>
      <w:r w:rsidR="00E941C5">
        <w:rPr>
          <w:rStyle w:val="SubtleEmphasis"/>
        </w:rPr>
        <w:t>8</w:t>
      </w:r>
      <w:r>
        <w:rPr>
          <w:rStyle w:val="SubtleEmphasis"/>
        </w:rPr>
        <w:t>, 2020</w:t>
      </w:r>
    </w:p>
    <w:p w14:paraId="0E29E16D" w14:textId="4EE1EFCD" w:rsidR="005A5DD8" w:rsidRDefault="005A5DD8" w:rsidP="005A5DD8">
      <w:pPr>
        <w:pStyle w:val="NoSpacing"/>
        <w:spacing w:after="120"/>
      </w:pPr>
      <w:r>
        <w:t xml:space="preserve">Should a State or Tribe (Title VI grantee) request and receive a Major Disaster </w:t>
      </w:r>
      <w:r w:rsidR="00FE6E01">
        <w:t>D</w:t>
      </w:r>
      <w:r>
        <w:t>eclaration</w:t>
      </w:r>
      <w:r w:rsidR="00FE6E01">
        <w:t xml:space="preserve"> (MDD)</w:t>
      </w:r>
      <w:r>
        <w:t xml:space="preserve"> by the President under the Stafford Act, </w:t>
      </w:r>
      <w:r w:rsidR="00FE6E01">
        <w:t>it</w:t>
      </w:r>
      <w:r>
        <w:t xml:space="preserve"> triggers </w:t>
      </w:r>
      <w:hyperlink r:id="rId11" w:history="1">
        <w:r w:rsidRPr="003840DA">
          <w:rPr>
            <w:rStyle w:val="Hyperlink"/>
          </w:rPr>
          <w:t>disaster relief authority in the Older Americans Act (OAA)</w:t>
        </w:r>
      </w:hyperlink>
      <w:r>
        <w:t xml:space="preserve">.  Once </w:t>
      </w:r>
      <w:r w:rsidR="00FE6E01">
        <w:t>a MDD</w:t>
      </w:r>
      <w:r>
        <w:t xml:space="preserve"> request by a State is approved, Section 310(c) permits states to use any portion of the funds made available under sections of the Act for disaster relief for older individuals. In this regard, flexibility is provided for </w:t>
      </w:r>
      <w:r w:rsidR="003840DA">
        <w:t>S</w:t>
      </w:r>
      <w:r>
        <w:t xml:space="preserve">tates – without the need for a separate application, transfer request, or request for a waiver -- to use existing allocations already made to them under </w:t>
      </w:r>
      <w:r w:rsidR="00FE6E01">
        <w:t>the Act</w:t>
      </w:r>
      <w:r>
        <w:t xml:space="preserve"> for disaster relief. </w:t>
      </w:r>
    </w:p>
    <w:p w14:paraId="77B9DAD3" w14:textId="2998BDC2" w:rsidR="005A5DD8" w:rsidRDefault="005A5DD8" w:rsidP="005A5DD8">
      <w:pPr>
        <w:pStyle w:val="NoSpacing"/>
        <w:spacing w:after="120"/>
      </w:pPr>
      <w:r>
        <w:t>These FAQs are specifically to address the flexibilities provided to States with a MDD.</w:t>
      </w:r>
    </w:p>
    <w:p w14:paraId="144B2B80" w14:textId="64003268" w:rsidR="00B67B41" w:rsidRDefault="00134744" w:rsidP="00B67B41">
      <w:pPr>
        <w:pStyle w:val="Heading1"/>
        <w:spacing w:before="360" w:after="120"/>
        <w:rPr>
          <w:rFonts w:ascii="Times New Roman" w:hAnsi="Times New Roman" w:cs="Times New Roman"/>
          <w:sz w:val="24"/>
          <w:szCs w:val="24"/>
        </w:rPr>
      </w:pPr>
      <w:r>
        <w:t xml:space="preserve">Timeframes &amp; Definitions of </w:t>
      </w:r>
      <w:r w:rsidR="00B67B41">
        <w:t>Disaster Relief Services for Older Individuals</w:t>
      </w:r>
    </w:p>
    <w:p w14:paraId="318BDEB7" w14:textId="77777777" w:rsidR="00134744" w:rsidRDefault="00B67B41" w:rsidP="003840DA">
      <w:pPr>
        <w:pStyle w:val="NoSpacing"/>
        <w:spacing w:after="120"/>
      </w:pPr>
      <w:r>
        <w:t xml:space="preserve">ACL considers disaster relief services for older individuals to be any services during the period covered by the </w:t>
      </w:r>
      <w:r w:rsidR="00134744">
        <w:t xml:space="preserve">State’s </w:t>
      </w:r>
      <w:r>
        <w:t>MDD that are provided to eligible older individuals or family caregivers as defined under the OAA.</w:t>
      </w:r>
    </w:p>
    <w:p w14:paraId="6398BB4C" w14:textId="2844E75D" w:rsidR="00B67B41" w:rsidRDefault="00134744" w:rsidP="003840DA">
      <w:pPr>
        <w:pStyle w:val="NoSpacing"/>
        <w:spacing w:after="120"/>
      </w:pPr>
      <w:r>
        <w:t>States may use any portions of any open OAA grant awards</w:t>
      </w:r>
      <w:r w:rsidR="00960013">
        <w:t xml:space="preserve"> (i.e., FFY 2018, 2019, or 2020)</w:t>
      </w:r>
      <w:r>
        <w:t xml:space="preserve"> in order to provide disaster relief services.</w:t>
      </w:r>
      <w:r w:rsidR="00960013">
        <w:t xml:space="preserve">  States should communicate with AAAs regarding State expectations for use and reporting of services and funds provided with MDD flexibilities. </w:t>
      </w:r>
    </w:p>
    <w:p w14:paraId="3244686C" w14:textId="77777777" w:rsidR="00B931F7" w:rsidRDefault="00B931F7" w:rsidP="00B931F7">
      <w:pPr>
        <w:pStyle w:val="Heading2"/>
      </w:pPr>
      <w:r>
        <w:t>Related Questions:</w:t>
      </w:r>
    </w:p>
    <w:p w14:paraId="0566CCE2" w14:textId="53DC48BF" w:rsidR="00B931F7" w:rsidRPr="00345FBC" w:rsidRDefault="00B931F7" w:rsidP="00B931F7">
      <w:pPr>
        <w:pStyle w:val="ListParagraph"/>
        <w:numPr>
          <w:ilvl w:val="0"/>
          <w:numId w:val="5"/>
        </w:numPr>
        <w:rPr>
          <w:rFonts w:ascii="Calibri" w:hAnsi="Calibri" w:cs="Calibri"/>
        </w:rPr>
      </w:pPr>
      <w:r>
        <w:rPr>
          <w:rFonts w:ascii="Calibri" w:hAnsi="Calibri" w:cs="Calibri"/>
        </w:rPr>
        <w:t xml:space="preserve">What is a </w:t>
      </w:r>
      <w:r>
        <w:t xml:space="preserve">regular service vs. </w:t>
      </w:r>
      <w:r w:rsidR="00134744">
        <w:t>a COVID service</w:t>
      </w:r>
      <w:r>
        <w:t>?</w:t>
      </w:r>
    </w:p>
    <w:p w14:paraId="32EC13D4" w14:textId="1E321B5C" w:rsidR="00B67B41" w:rsidRPr="003840DA" w:rsidRDefault="00B931F7" w:rsidP="003840DA">
      <w:pPr>
        <w:pStyle w:val="ListParagraph"/>
        <w:numPr>
          <w:ilvl w:val="1"/>
          <w:numId w:val="4"/>
        </w:numPr>
        <w:rPr>
          <w:rFonts w:ascii="Calibri" w:hAnsi="Calibri" w:cs="Calibri"/>
        </w:rPr>
      </w:pPr>
      <w:r w:rsidRPr="003840DA">
        <w:rPr>
          <w:rFonts w:ascii="Calibri" w:hAnsi="Calibri" w:cs="Calibri"/>
        </w:rPr>
        <w:t xml:space="preserve">Any </w:t>
      </w:r>
      <w:r w:rsidR="00134744" w:rsidRPr="003840DA">
        <w:rPr>
          <w:rFonts w:ascii="Calibri" w:hAnsi="Calibri" w:cs="Calibri"/>
        </w:rPr>
        <w:t xml:space="preserve">allowable </w:t>
      </w:r>
      <w:r w:rsidR="003840DA">
        <w:rPr>
          <w:rFonts w:ascii="Calibri" w:hAnsi="Calibri" w:cs="Calibri"/>
        </w:rPr>
        <w:t xml:space="preserve">Older Americans Act </w:t>
      </w:r>
      <w:r w:rsidRPr="003840DA">
        <w:rPr>
          <w:rFonts w:ascii="Calibri" w:hAnsi="Calibri" w:cs="Calibri"/>
        </w:rPr>
        <w:t>service provided to an eligible person under the OAA during this COVID-19 emergency is considered a disaster relief service.</w:t>
      </w:r>
      <w:r w:rsidR="00134744" w:rsidRPr="003840DA">
        <w:rPr>
          <w:rFonts w:ascii="Calibri" w:hAnsi="Calibri" w:cs="Calibri"/>
        </w:rPr>
        <w:t xml:space="preserve">  See your State’s MDD for more information regarding dates.</w:t>
      </w:r>
    </w:p>
    <w:p w14:paraId="7B323F0C" w14:textId="4FD445D5" w:rsidR="00960013" w:rsidRDefault="00960013" w:rsidP="003840DA">
      <w:pPr>
        <w:pStyle w:val="NoSpacing"/>
        <w:numPr>
          <w:ilvl w:val="0"/>
          <w:numId w:val="5"/>
        </w:numPr>
      </w:pPr>
      <w:r>
        <w:t>Can we go back to FFY 18 and 19 grants that are still open and exercise the flexibilities under a MDD?</w:t>
      </w:r>
    </w:p>
    <w:p w14:paraId="1D87DE3D" w14:textId="1886D8E2" w:rsidR="00960013" w:rsidRDefault="00960013" w:rsidP="003840DA">
      <w:pPr>
        <w:pStyle w:val="ListParagraph"/>
        <w:numPr>
          <w:ilvl w:val="1"/>
          <w:numId w:val="4"/>
        </w:numPr>
        <w:rPr>
          <w:rFonts w:ascii="Calibri" w:hAnsi="Calibri" w:cs="Calibri"/>
        </w:rPr>
      </w:pPr>
      <w:r w:rsidRPr="003840DA">
        <w:rPr>
          <w:rFonts w:ascii="Calibri" w:hAnsi="Calibri" w:cs="Calibri"/>
        </w:rPr>
        <w:t>Yes</w:t>
      </w:r>
      <w:r>
        <w:rPr>
          <w:rFonts w:ascii="Calibri" w:hAnsi="Calibri" w:cs="Calibri"/>
        </w:rPr>
        <w:t xml:space="preserve">. </w:t>
      </w:r>
      <w:r w:rsidRPr="00960013">
        <w:t xml:space="preserve"> </w:t>
      </w:r>
      <w:r>
        <w:t xml:space="preserve">States </w:t>
      </w:r>
      <w:r w:rsidR="00D60EC6">
        <w:t xml:space="preserve">with a MDD </w:t>
      </w:r>
      <w:r>
        <w:t xml:space="preserve">may use any portions of any open OAA grant awards (i.e., FFY 2018, 2019, or 2020) in order to provide disaster relief services.  </w:t>
      </w:r>
    </w:p>
    <w:p w14:paraId="754D6B0D" w14:textId="3514CDB3" w:rsidR="00960013" w:rsidRDefault="00960013" w:rsidP="00960013">
      <w:pPr>
        <w:pStyle w:val="NoSpacing"/>
        <w:numPr>
          <w:ilvl w:val="0"/>
          <w:numId w:val="5"/>
        </w:numPr>
      </w:pPr>
      <w:r>
        <w:t>Does the flexibility under the MDD last for the entire FFY?</w:t>
      </w:r>
    </w:p>
    <w:p w14:paraId="26491C69" w14:textId="353045CB" w:rsidR="003840DA" w:rsidRDefault="00960013" w:rsidP="003840DA">
      <w:pPr>
        <w:pStyle w:val="ListParagraph"/>
        <w:numPr>
          <w:ilvl w:val="1"/>
          <w:numId w:val="4"/>
        </w:numPr>
        <w:rPr>
          <w:rFonts w:ascii="Calibri" w:hAnsi="Calibri" w:cs="Calibri"/>
        </w:rPr>
      </w:pPr>
      <w:r>
        <w:rPr>
          <w:rFonts w:ascii="Calibri" w:hAnsi="Calibri" w:cs="Calibri"/>
        </w:rPr>
        <w:t xml:space="preserve">Services provided under the MDD flexibility should be limited to the period of the MDD.  However, fiscal reporting (i.e., SF-425) will occur over the usual FFY reporting period. </w:t>
      </w:r>
      <w:r w:rsidR="00E55FE5">
        <w:rPr>
          <w:rFonts w:ascii="Calibri" w:hAnsi="Calibri" w:cs="Calibri"/>
        </w:rPr>
        <w:t xml:space="preserve"> Please also see the recommended order of use of funding under the Fiscal FAQ.</w:t>
      </w:r>
    </w:p>
    <w:p w14:paraId="17F246A1" w14:textId="3D16D641" w:rsidR="002D489B" w:rsidRDefault="002D489B" w:rsidP="00B53E1E">
      <w:pPr>
        <w:pStyle w:val="ListParagraph"/>
        <w:numPr>
          <w:ilvl w:val="0"/>
          <w:numId w:val="5"/>
        </w:numPr>
        <w:rPr>
          <w:rFonts w:ascii="Calibri" w:hAnsi="Calibri" w:cs="Calibri"/>
        </w:rPr>
      </w:pPr>
      <w:r>
        <w:rPr>
          <w:rFonts w:ascii="Calibri" w:hAnsi="Calibri" w:cs="Calibri"/>
        </w:rPr>
        <w:t>Does the flexibility under the MDD apply to NSIP funding too?</w:t>
      </w:r>
    </w:p>
    <w:p w14:paraId="3026627E" w14:textId="4F8D8560" w:rsidR="002D489B" w:rsidRDefault="00FE6E01" w:rsidP="002D489B">
      <w:pPr>
        <w:pStyle w:val="ListParagraph"/>
        <w:numPr>
          <w:ilvl w:val="1"/>
          <w:numId w:val="4"/>
        </w:numPr>
        <w:rPr>
          <w:rFonts w:ascii="Calibri" w:hAnsi="Calibri" w:cs="Calibri"/>
        </w:rPr>
      </w:pPr>
      <w:r>
        <w:rPr>
          <w:rFonts w:ascii="Calibri" w:hAnsi="Calibri" w:cs="Calibri"/>
        </w:rPr>
        <w:t xml:space="preserve">Yes, but </w:t>
      </w:r>
      <w:r w:rsidR="002D489B">
        <w:rPr>
          <w:rFonts w:ascii="Calibri" w:hAnsi="Calibri" w:cs="Calibri"/>
        </w:rPr>
        <w:t>NSIP funds may only be used to purchase domestically produced food products</w:t>
      </w:r>
      <w:r>
        <w:rPr>
          <w:rFonts w:ascii="Calibri" w:hAnsi="Calibri" w:cs="Calibri"/>
        </w:rPr>
        <w:t>.   A</w:t>
      </w:r>
      <w:r w:rsidR="00B53E1E">
        <w:rPr>
          <w:rFonts w:ascii="Calibri" w:hAnsi="Calibri" w:cs="Calibri"/>
        </w:rPr>
        <w:t>dditional flexibilities are not available</w:t>
      </w:r>
      <w:r w:rsidR="002D489B">
        <w:rPr>
          <w:rFonts w:ascii="Calibri" w:hAnsi="Calibri" w:cs="Calibri"/>
        </w:rPr>
        <w:t>.</w:t>
      </w:r>
    </w:p>
    <w:p w14:paraId="7F7D7ABA" w14:textId="12E09ED2" w:rsidR="002D489B" w:rsidRDefault="002D489B" w:rsidP="00B53E1E">
      <w:pPr>
        <w:pStyle w:val="ListParagraph"/>
        <w:numPr>
          <w:ilvl w:val="0"/>
          <w:numId w:val="5"/>
        </w:numPr>
        <w:rPr>
          <w:rFonts w:ascii="Calibri" w:hAnsi="Calibri" w:cs="Calibri"/>
        </w:rPr>
      </w:pPr>
      <w:r>
        <w:rPr>
          <w:rFonts w:ascii="Calibri" w:hAnsi="Calibri" w:cs="Calibri"/>
        </w:rPr>
        <w:t>Does the flexibility under the MDD apply to Title VII too?</w:t>
      </w:r>
    </w:p>
    <w:p w14:paraId="4E39962F" w14:textId="37DE77CE" w:rsidR="002D489B" w:rsidRDefault="002D489B" w:rsidP="002D489B">
      <w:pPr>
        <w:pStyle w:val="ListParagraph"/>
        <w:numPr>
          <w:ilvl w:val="1"/>
          <w:numId w:val="4"/>
        </w:numPr>
        <w:rPr>
          <w:rFonts w:ascii="Calibri" w:hAnsi="Calibri" w:cs="Calibri"/>
        </w:rPr>
      </w:pPr>
      <w:r>
        <w:rPr>
          <w:rFonts w:ascii="Calibri" w:hAnsi="Calibri" w:cs="Calibri"/>
        </w:rPr>
        <w:t>Yes, the flexibility exists under Title VII.</w:t>
      </w:r>
    </w:p>
    <w:p w14:paraId="739387F0" w14:textId="310A2045" w:rsidR="003840DA" w:rsidRPr="00333201" w:rsidRDefault="003840DA" w:rsidP="00B53E1E">
      <w:pPr>
        <w:pStyle w:val="ListParagraph"/>
        <w:numPr>
          <w:ilvl w:val="0"/>
          <w:numId w:val="5"/>
        </w:numPr>
        <w:rPr>
          <w:rFonts w:ascii="Calibri" w:hAnsi="Calibri" w:cs="Calibri"/>
        </w:rPr>
      </w:pPr>
      <w:r>
        <w:rPr>
          <w:rFonts w:ascii="Calibri" w:hAnsi="Calibri" w:cs="Calibri"/>
        </w:rPr>
        <w:t xml:space="preserve">If </w:t>
      </w:r>
      <w:r w:rsidRPr="00333201">
        <w:rPr>
          <w:rFonts w:ascii="Calibri" w:hAnsi="Calibri" w:cs="Calibri"/>
        </w:rPr>
        <w:t>the major disaster ends, are FFCRA an</w:t>
      </w:r>
      <w:r w:rsidR="00FE6E01" w:rsidRPr="00333201">
        <w:rPr>
          <w:rFonts w:ascii="Calibri" w:hAnsi="Calibri" w:cs="Calibri"/>
        </w:rPr>
        <w:t>d</w:t>
      </w:r>
      <w:r w:rsidRPr="00333201">
        <w:rPr>
          <w:rFonts w:ascii="Calibri" w:hAnsi="Calibri" w:cs="Calibri"/>
        </w:rPr>
        <w:t xml:space="preserve"> CARES Act funding no longer available?</w:t>
      </w:r>
    </w:p>
    <w:p w14:paraId="56102D17" w14:textId="36BE1145" w:rsidR="003840DA" w:rsidRPr="00333201" w:rsidRDefault="00B53E1E" w:rsidP="003840DA">
      <w:pPr>
        <w:pStyle w:val="ListParagraph"/>
        <w:numPr>
          <w:ilvl w:val="1"/>
          <w:numId w:val="4"/>
        </w:numPr>
        <w:rPr>
          <w:rFonts w:ascii="Calibri" w:hAnsi="Calibri" w:cs="Calibri"/>
        </w:rPr>
      </w:pPr>
      <w:r w:rsidRPr="00333201">
        <w:rPr>
          <w:rFonts w:ascii="Calibri" w:hAnsi="Calibri" w:cs="Calibri"/>
        </w:rPr>
        <w:t>Funds were appropriated to</w:t>
      </w:r>
      <w:r w:rsidR="00AA2A4A" w:rsidRPr="00333201">
        <w:rPr>
          <w:rFonts w:ascii="Calibri" w:hAnsi="Calibri" w:cs="Calibri"/>
        </w:rPr>
        <w:t xml:space="preserve"> remain available until September 30, 2021, to prevent, prepare for, and</w:t>
      </w:r>
      <w:r w:rsidRPr="00333201">
        <w:rPr>
          <w:rFonts w:ascii="Calibri" w:hAnsi="Calibri" w:cs="Calibri"/>
        </w:rPr>
        <w:t xml:space="preserve"> respond to Coronavirus, therefore.  It would be prudent to assume that even after the major disaster</w:t>
      </w:r>
      <w:r w:rsidR="00AA2A4A" w:rsidRPr="00333201">
        <w:rPr>
          <w:rFonts w:ascii="Calibri" w:hAnsi="Calibri" w:cs="Calibri"/>
        </w:rPr>
        <w:t xml:space="preserve"> or </w:t>
      </w:r>
      <w:r w:rsidR="00AA2A4A" w:rsidRPr="00333201">
        <w:rPr>
          <w:rFonts w:ascii="Calibri" w:hAnsi="Calibri" w:cs="Calibri"/>
        </w:rPr>
        <w:lastRenderedPageBreak/>
        <w:t>public health emergency</w:t>
      </w:r>
      <w:r w:rsidRPr="00333201">
        <w:rPr>
          <w:rFonts w:ascii="Calibri" w:hAnsi="Calibri" w:cs="Calibri"/>
        </w:rPr>
        <w:t xml:space="preserve"> has concluded there will still be expenses related to </w:t>
      </w:r>
      <w:r w:rsidR="00AA2A4A" w:rsidRPr="00333201">
        <w:rPr>
          <w:rFonts w:ascii="Calibri" w:hAnsi="Calibri" w:cs="Calibri"/>
        </w:rPr>
        <w:t xml:space="preserve">the </w:t>
      </w:r>
      <w:r w:rsidRPr="00333201">
        <w:rPr>
          <w:rFonts w:ascii="Calibri" w:hAnsi="Calibri" w:cs="Calibri"/>
        </w:rPr>
        <w:t>coronavirus response, such as stocking congregate meal kitchens that were suddenly closed, starting back up transportation for seniors,</w:t>
      </w:r>
      <w:r w:rsidR="00AA2A4A" w:rsidRPr="00333201">
        <w:rPr>
          <w:rFonts w:ascii="Calibri" w:hAnsi="Calibri" w:cs="Calibri"/>
        </w:rPr>
        <w:t xml:space="preserve"> etc.  </w:t>
      </w:r>
    </w:p>
    <w:p w14:paraId="771272A9" w14:textId="77B6497A" w:rsidR="00B53E1E" w:rsidRPr="00F725EA" w:rsidRDefault="00B53E1E" w:rsidP="00AE4DAE">
      <w:pPr>
        <w:pStyle w:val="ListParagraph"/>
        <w:numPr>
          <w:ilvl w:val="0"/>
          <w:numId w:val="5"/>
        </w:numPr>
        <w:rPr>
          <w:rFonts w:ascii="Calibri" w:hAnsi="Calibri" w:cs="Calibri"/>
        </w:rPr>
      </w:pPr>
      <w:r w:rsidRPr="006E406C">
        <w:rPr>
          <w:rFonts w:ascii="Calibri" w:hAnsi="Calibri" w:cs="Calibri"/>
        </w:rPr>
        <w:t>It sounds like the total funding needs to stay within the originating authorization (i.e. regular T</w:t>
      </w:r>
      <w:r w:rsidR="00AA2A4A">
        <w:rPr>
          <w:rFonts w:ascii="Calibri" w:hAnsi="Calibri" w:cs="Calibri"/>
        </w:rPr>
        <w:t>-III</w:t>
      </w:r>
      <w:r w:rsidRPr="006E406C">
        <w:rPr>
          <w:rFonts w:ascii="Calibri" w:hAnsi="Calibri" w:cs="Calibri"/>
        </w:rPr>
        <w:t xml:space="preserve">, FFCRA and </w:t>
      </w:r>
      <w:r w:rsidRPr="00F725EA">
        <w:rPr>
          <w:rFonts w:ascii="Calibri" w:hAnsi="Calibri" w:cs="Calibri"/>
        </w:rPr>
        <w:t>CARES), but within each originating authorization the AAA can move funds around as needed.  Is that correct?</w:t>
      </w:r>
    </w:p>
    <w:p w14:paraId="19C5B7FB" w14:textId="3957ADF3" w:rsidR="00B53E1E" w:rsidRPr="00AE4DAE" w:rsidRDefault="00B53E1E" w:rsidP="00B53E1E">
      <w:pPr>
        <w:pStyle w:val="ListParagraph"/>
        <w:numPr>
          <w:ilvl w:val="1"/>
          <w:numId w:val="4"/>
        </w:numPr>
        <w:rPr>
          <w:rFonts w:ascii="Calibri" w:hAnsi="Calibri" w:cs="Calibri"/>
        </w:rPr>
      </w:pPr>
      <w:r w:rsidRPr="00AE4DAE">
        <w:rPr>
          <w:rFonts w:ascii="Calibri" w:hAnsi="Calibri" w:cs="Calibri"/>
        </w:rPr>
        <w:t xml:space="preserve">Yes, </w:t>
      </w:r>
      <w:r w:rsidR="00AA2A4A">
        <w:rPr>
          <w:rFonts w:ascii="Calibri" w:hAnsi="Calibri" w:cs="Calibri"/>
        </w:rPr>
        <w:t xml:space="preserve">expenditures of </w:t>
      </w:r>
      <w:r w:rsidRPr="00AE4DAE">
        <w:rPr>
          <w:rFonts w:ascii="Calibri" w:hAnsi="Calibri" w:cs="Calibri"/>
        </w:rPr>
        <w:t xml:space="preserve">funds must be reported separately for each grant award.  Once a Presidentially Declared Major Disaster is approved, an SUA may expend funds from any source within the grant award, but </w:t>
      </w:r>
      <w:r w:rsidR="00AA2A4A">
        <w:rPr>
          <w:rFonts w:ascii="Calibri" w:hAnsi="Calibri" w:cs="Calibri"/>
        </w:rPr>
        <w:t xml:space="preserve">should </w:t>
      </w:r>
      <w:r w:rsidRPr="00AE4DAE">
        <w:rPr>
          <w:rFonts w:ascii="Calibri" w:hAnsi="Calibri" w:cs="Calibri"/>
        </w:rPr>
        <w:t>be mindful to track the source of expenditures.</w:t>
      </w:r>
    </w:p>
    <w:p w14:paraId="5BDC79FD" w14:textId="573134C6" w:rsidR="00F725EA" w:rsidRPr="00F725EA" w:rsidRDefault="00AA2A4A" w:rsidP="00AE4DAE">
      <w:pPr>
        <w:pStyle w:val="ListParagraph"/>
        <w:numPr>
          <w:ilvl w:val="0"/>
          <w:numId w:val="5"/>
        </w:numPr>
        <w:rPr>
          <w:rFonts w:ascii="Calibri" w:hAnsi="Calibri" w:cs="Calibri"/>
        </w:rPr>
      </w:pPr>
      <w:r>
        <w:rPr>
          <w:rFonts w:ascii="Calibri" w:hAnsi="Calibri" w:cs="Calibri"/>
        </w:rPr>
        <w:t xml:space="preserve">Do </w:t>
      </w:r>
      <w:r w:rsidR="00B53E1E" w:rsidRPr="00F725EA">
        <w:rPr>
          <w:rFonts w:ascii="Calibri" w:hAnsi="Calibri" w:cs="Calibri"/>
        </w:rPr>
        <w:t>flexibilities in “bucketing” funds extend to regular OAA FFY2018, 2019 and 2020 Title III grants?</w:t>
      </w:r>
    </w:p>
    <w:p w14:paraId="273E51D3" w14:textId="51A8AC41" w:rsidR="00B53E1E" w:rsidRDefault="00B53E1E" w:rsidP="00F725EA">
      <w:pPr>
        <w:pStyle w:val="ListParagraph"/>
        <w:numPr>
          <w:ilvl w:val="1"/>
          <w:numId w:val="5"/>
        </w:numPr>
        <w:rPr>
          <w:rFonts w:ascii="Calibri" w:hAnsi="Calibri" w:cs="Calibri"/>
        </w:rPr>
      </w:pPr>
      <w:r w:rsidRPr="00F725EA">
        <w:rPr>
          <w:rFonts w:ascii="Calibri" w:hAnsi="Calibri" w:cs="Calibri"/>
        </w:rPr>
        <w:t>Yes, however please see order of use of funding for additional guidance.</w:t>
      </w:r>
    </w:p>
    <w:p w14:paraId="4EE512DA" w14:textId="5F7D83BC" w:rsidR="00673318" w:rsidRDefault="00673318" w:rsidP="00333201">
      <w:pPr>
        <w:pStyle w:val="ListParagraph"/>
        <w:numPr>
          <w:ilvl w:val="0"/>
          <w:numId w:val="5"/>
        </w:numPr>
        <w:rPr>
          <w:rFonts w:ascii="Calibri" w:hAnsi="Calibri" w:cs="Calibri"/>
        </w:rPr>
      </w:pPr>
      <w:r>
        <w:rPr>
          <w:rFonts w:ascii="Calibri" w:hAnsi="Calibri" w:cs="Calibri"/>
        </w:rPr>
        <w:t>Are FFCRA and CARES Act funds available for “buck</w:t>
      </w:r>
      <w:r w:rsidR="000549CF">
        <w:rPr>
          <w:rFonts w:ascii="Calibri" w:hAnsi="Calibri" w:cs="Calibri"/>
        </w:rPr>
        <w:t>et</w:t>
      </w:r>
      <w:r>
        <w:rPr>
          <w:rFonts w:ascii="Calibri" w:hAnsi="Calibri" w:cs="Calibri"/>
        </w:rPr>
        <w:t>ing”?</w:t>
      </w:r>
    </w:p>
    <w:p w14:paraId="5701A754" w14:textId="2A360E33" w:rsidR="00673318" w:rsidRDefault="00673318" w:rsidP="00673318">
      <w:pPr>
        <w:pStyle w:val="ListParagraph"/>
        <w:numPr>
          <w:ilvl w:val="1"/>
          <w:numId w:val="5"/>
        </w:numPr>
        <w:rPr>
          <w:rFonts w:ascii="Calibri" w:hAnsi="Calibri" w:cs="Calibri"/>
        </w:rPr>
      </w:pPr>
      <w:r>
        <w:rPr>
          <w:rFonts w:ascii="Calibri" w:hAnsi="Calibri" w:cs="Calibri"/>
        </w:rPr>
        <w:t xml:space="preserve">Yes, FFCRA and CARES Act funds are available with maximum flexibility </w:t>
      </w:r>
      <w:r w:rsidR="00333201">
        <w:rPr>
          <w:rFonts w:ascii="Calibri" w:hAnsi="Calibri" w:cs="Calibri"/>
        </w:rPr>
        <w:t>when</w:t>
      </w:r>
      <w:r>
        <w:rPr>
          <w:rFonts w:ascii="Calibri" w:hAnsi="Calibri" w:cs="Calibri"/>
        </w:rPr>
        <w:t xml:space="preserve"> </w:t>
      </w:r>
      <w:r w:rsidR="00E941C5">
        <w:rPr>
          <w:rFonts w:ascii="Calibri" w:hAnsi="Calibri" w:cs="Calibri"/>
        </w:rPr>
        <w:t xml:space="preserve">a </w:t>
      </w:r>
      <w:r>
        <w:rPr>
          <w:rFonts w:ascii="Calibri" w:hAnsi="Calibri" w:cs="Calibri"/>
        </w:rPr>
        <w:t>major disaster declaration has been approved during the incident period</w:t>
      </w:r>
      <w:r w:rsidR="00333201">
        <w:rPr>
          <w:rFonts w:ascii="Calibri" w:hAnsi="Calibri" w:cs="Calibri"/>
        </w:rPr>
        <w:t xml:space="preserve"> as defined in the declaration</w:t>
      </w:r>
      <w:r>
        <w:rPr>
          <w:rFonts w:ascii="Calibri" w:hAnsi="Calibri" w:cs="Calibri"/>
        </w:rPr>
        <w:t>.</w:t>
      </w:r>
    </w:p>
    <w:p w14:paraId="255190B6" w14:textId="77777777" w:rsidR="000549CF" w:rsidRDefault="000549CF" w:rsidP="000549CF">
      <w:pPr>
        <w:pStyle w:val="ListParagraph"/>
        <w:numPr>
          <w:ilvl w:val="0"/>
          <w:numId w:val="5"/>
        </w:numPr>
        <w:rPr>
          <w:rFonts w:ascii="Calibri" w:hAnsi="Calibri" w:cs="Calibri"/>
        </w:rPr>
      </w:pPr>
      <w:r>
        <w:rPr>
          <w:rFonts w:ascii="Calibri" w:hAnsi="Calibri" w:cs="Calibri"/>
        </w:rPr>
        <w:t>Are transfers required to “bucket” funding?</w:t>
      </w:r>
    </w:p>
    <w:p w14:paraId="6CD02683" w14:textId="4AAB3960" w:rsidR="002E34AD" w:rsidRPr="002E34AD" w:rsidRDefault="000549CF" w:rsidP="002E34AD">
      <w:pPr>
        <w:pStyle w:val="ListParagraph"/>
        <w:numPr>
          <w:ilvl w:val="1"/>
          <w:numId w:val="5"/>
        </w:numPr>
        <w:rPr>
          <w:rFonts w:ascii="Calibri" w:hAnsi="Calibri" w:cs="Calibri"/>
        </w:rPr>
      </w:pPr>
      <w:r>
        <w:rPr>
          <w:rFonts w:ascii="Calibri" w:hAnsi="Calibri" w:cs="Calibri"/>
        </w:rPr>
        <w:t xml:space="preserve">States do not have to make transfers once a major disaster declaration has been approved.  States have the ability to designate funds as </w:t>
      </w:r>
      <w:r w:rsidR="00E941C5">
        <w:rPr>
          <w:rFonts w:ascii="Calibri" w:hAnsi="Calibri" w:cs="Calibri"/>
        </w:rPr>
        <w:t>“</w:t>
      </w:r>
      <w:r>
        <w:rPr>
          <w:rFonts w:ascii="Calibri" w:hAnsi="Calibri" w:cs="Calibri"/>
        </w:rPr>
        <w:t>disaster relief</w:t>
      </w:r>
      <w:r w:rsidR="00E941C5">
        <w:rPr>
          <w:rFonts w:ascii="Calibri" w:hAnsi="Calibri" w:cs="Calibri"/>
        </w:rPr>
        <w:t>”</w:t>
      </w:r>
      <w:r>
        <w:rPr>
          <w:rFonts w:ascii="Calibri" w:hAnsi="Calibri" w:cs="Calibri"/>
        </w:rPr>
        <w:t xml:space="preserve"> and spend them in response to the identified needs out of any Part of the </w:t>
      </w:r>
      <w:r w:rsidR="00E941C5">
        <w:rPr>
          <w:rFonts w:ascii="Calibri" w:hAnsi="Calibri" w:cs="Calibri"/>
        </w:rPr>
        <w:t>Act, and can</w:t>
      </w:r>
      <w:r>
        <w:rPr>
          <w:rFonts w:ascii="Calibri" w:hAnsi="Calibri" w:cs="Calibri"/>
        </w:rPr>
        <w:t xml:space="preserve"> includ</w:t>
      </w:r>
      <w:r w:rsidR="00E941C5">
        <w:rPr>
          <w:rFonts w:ascii="Calibri" w:hAnsi="Calibri" w:cs="Calibri"/>
        </w:rPr>
        <w:t>e</w:t>
      </w:r>
      <w:r>
        <w:rPr>
          <w:rFonts w:ascii="Calibri" w:hAnsi="Calibri" w:cs="Calibri"/>
        </w:rPr>
        <w:t xml:space="preserve"> FFCRA and CARES Act funding.</w:t>
      </w:r>
    </w:p>
    <w:p w14:paraId="168238AC" w14:textId="5FFEA576" w:rsidR="004F7254" w:rsidRDefault="004F7254" w:rsidP="004F7254">
      <w:pPr>
        <w:pStyle w:val="Heading1"/>
        <w:spacing w:before="360" w:after="120"/>
        <w:rPr>
          <w:rFonts w:ascii="Times New Roman" w:hAnsi="Times New Roman" w:cs="Times New Roman"/>
          <w:sz w:val="24"/>
          <w:szCs w:val="24"/>
        </w:rPr>
      </w:pPr>
      <w:r>
        <w:t>Match</w:t>
      </w:r>
    </w:p>
    <w:p w14:paraId="7C1AD9EA" w14:textId="3995F840" w:rsidR="006359E8" w:rsidRDefault="006359E8" w:rsidP="00AE4DAE">
      <w:pPr>
        <w:pStyle w:val="NoSpacing"/>
        <w:spacing w:before="120" w:after="120"/>
      </w:pPr>
      <w:r>
        <w:t xml:space="preserve">For states exercising flexibility with Title III funding under a MDD, the following match requirements apply: </w:t>
      </w:r>
    </w:p>
    <w:p w14:paraId="0C3C33FC" w14:textId="5383643A" w:rsidR="006359E8" w:rsidRDefault="006359E8">
      <w:pPr>
        <w:pStyle w:val="ListParagraph"/>
      </w:pPr>
      <w:r>
        <w:t>States c</w:t>
      </w:r>
      <w:r w:rsidR="004F7254">
        <w:t>an pool match between all services</w:t>
      </w:r>
    </w:p>
    <w:p w14:paraId="24D1DFE2" w14:textId="1147AF72" w:rsidR="008D2DA4" w:rsidRDefault="006359E8" w:rsidP="00AE4DAE">
      <w:pPr>
        <w:pStyle w:val="ListParagraph"/>
        <w:numPr>
          <w:ilvl w:val="1"/>
          <w:numId w:val="3"/>
        </w:numPr>
      </w:pPr>
      <w:r>
        <w:t xml:space="preserve">Example: Title III-E </w:t>
      </w:r>
      <w:r w:rsidR="00F725EA">
        <w:t xml:space="preserve">service </w:t>
      </w:r>
      <w:r>
        <w:t xml:space="preserve">funds </w:t>
      </w:r>
      <w:r w:rsidR="00F725EA">
        <w:t xml:space="preserve">have a match requirement of </w:t>
      </w:r>
      <w:r>
        <w:t>25%</w:t>
      </w:r>
      <w:r w:rsidR="00AA2A4A">
        <w:t xml:space="preserve">. </w:t>
      </w:r>
      <w:r w:rsidR="00F725EA">
        <w:t xml:space="preserve"> </w:t>
      </w:r>
      <w:r w:rsidR="00AA2A4A">
        <w:t>A</w:t>
      </w:r>
      <w:r w:rsidR="00F725EA">
        <w:t xml:space="preserve"> State may use overmatch provided for in C-2 Home Delivered Meals, to meet the match requirement during this MDD.</w:t>
      </w:r>
    </w:p>
    <w:p w14:paraId="6FC48C5C" w14:textId="0D5D1AE0" w:rsidR="00F725EA" w:rsidRDefault="00F725EA">
      <w:pPr>
        <w:pStyle w:val="ListParagraph"/>
      </w:pPr>
      <w:r>
        <w:t>States may use Service match to meet State Plan and Area Plan Administration match requirements</w:t>
      </w:r>
    </w:p>
    <w:p w14:paraId="6FA757D4" w14:textId="38C5E019" w:rsidR="00F725EA" w:rsidRDefault="00F725EA" w:rsidP="00BE3708">
      <w:pPr>
        <w:pStyle w:val="ListParagraph"/>
        <w:numPr>
          <w:ilvl w:val="1"/>
          <w:numId w:val="3"/>
        </w:numPr>
      </w:pPr>
      <w:r>
        <w:t>State Plan and Area Plan Administration have a match requirement of 25%</w:t>
      </w:r>
      <w:r w:rsidR="00AA2A4A">
        <w:t xml:space="preserve">. </w:t>
      </w:r>
      <w:r>
        <w:t xml:space="preserve"> </w:t>
      </w:r>
      <w:r w:rsidR="00AA2A4A">
        <w:t xml:space="preserve">Overmatch </w:t>
      </w:r>
      <w:r>
        <w:t>from services may be used to meet this match requirement.</w:t>
      </w:r>
    </w:p>
    <w:p w14:paraId="13D5CF71" w14:textId="77777777" w:rsidR="00BE3708" w:rsidRDefault="00BE3708" w:rsidP="00BE3708">
      <w:pPr>
        <w:pStyle w:val="ListParagraph"/>
        <w:numPr>
          <w:ilvl w:val="1"/>
          <w:numId w:val="3"/>
        </w:numPr>
      </w:pPr>
      <w:r>
        <w:t>Additionally, a State may pool the use of overmatch in Regular Title III grants to meet State Plan and Area Plan Administrative match requirements for FFCRA and CARES Act.</w:t>
      </w:r>
    </w:p>
    <w:p w14:paraId="3A98AE02" w14:textId="3ADA8D8B" w:rsidR="00BE3708" w:rsidRDefault="00BE3708" w:rsidP="00BE3708">
      <w:pPr>
        <w:pStyle w:val="ListParagraph"/>
        <w:numPr>
          <w:ilvl w:val="2"/>
          <w:numId w:val="3"/>
        </w:numPr>
      </w:pPr>
      <w:r>
        <w:t xml:space="preserve">Example: A State took State Plan Administration in the FFCRA funding, </w:t>
      </w:r>
      <w:r w:rsidR="00D57C43">
        <w:t xml:space="preserve">and </w:t>
      </w:r>
      <w:r>
        <w:t xml:space="preserve">the State had overmatched Title III C-2, Home Delivered Meals.  The State may use that overmatch to meet the State Plan Administration match in FFCRA.  </w:t>
      </w:r>
    </w:p>
    <w:p w14:paraId="03C6D28C" w14:textId="65266F95" w:rsidR="008D2DA4" w:rsidRDefault="008D2DA4">
      <w:pPr>
        <w:pStyle w:val="ListParagraph"/>
      </w:pPr>
      <w:r>
        <w:t>States should report match as they usually would in the SF-425</w:t>
      </w:r>
      <w:r w:rsidR="00D57C43">
        <w:t>.</w:t>
      </w:r>
      <w:r>
        <w:t xml:space="preserve"> </w:t>
      </w:r>
      <w:r w:rsidR="00D57C43">
        <w:t xml:space="preserve">Pease </w:t>
      </w:r>
      <w:r w:rsidR="00BE3708">
        <w:t>make a note in Box 12 of the SF-425 report when match is pooled.</w:t>
      </w:r>
      <w:r w:rsidR="00E93ADF">
        <w:t xml:space="preserve"> </w:t>
      </w:r>
    </w:p>
    <w:p w14:paraId="7C007170" w14:textId="77777777" w:rsidR="00D60EC6" w:rsidRDefault="00D60EC6" w:rsidP="00D60EC6">
      <w:pPr>
        <w:pStyle w:val="Heading2"/>
      </w:pPr>
      <w:r>
        <w:t>Related Questions:</w:t>
      </w:r>
    </w:p>
    <w:p w14:paraId="278D5248" w14:textId="297B50CE" w:rsidR="00D60EC6" w:rsidRDefault="00D60EC6" w:rsidP="00BE3708">
      <w:pPr>
        <w:pStyle w:val="ListParagraph"/>
        <w:numPr>
          <w:ilvl w:val="0"/>
          <w:numId w:val="14"/>
        </w:numPr>
      </w:pPr>
      <w:r>
        <w:t xml:space="preserve">Can prior year funding be used for the Major Disaster Declaration and </w:t>
      </w:r>
      <w:r w:rsidR="00D57C43">
        <w:t xml:space="preserve">can </w:t>
      </w:r>
      <w:r>
        <w:t>funds be bucketed?  If so, how does this affect match requirements?</w:t>
      </w:r>
    </w:p>
    <w:p w14:paraId="739A4C33" w14:textId="41464E8D" w:rsidR="00D60EC6" w:rsidRDefault="00D60EC6" w:rsidP="00D60EC6">
      <w:pPr>
        <w:pStyle w:val="ListParagraph"/>
        <w:numPr>
          <w:ilvl w:val="1"/>
          <w:numId w:val="3"/>
        </w:numPr>
      </w:pPr>
      <w:r>
        <w:t>Yes, States with a MDD may use any portions of any open OAA grant awards (i.e., FFY 2018, 2019, or 2020) in order to provide disaster relief services</w:t>
      </w:r>
      <w:r w:rsidR="008D2DA4">
        <w:t xml:space="preserve">. </w:t>
      </w:r>
      <w:r w:rsidR="008D2DA4" w:rsidRPr="008D2DA4">
        <w:t xml:space="preserve"> </w:t>
      </w:r>
      <w:r w:rsidR="008D2DA4">
        <w:t>In terms of “bucketing” funds, States can use any portion of the funds made available under the OAA for disaster relief for older individuals.  For example, a State may use Title III-E funding to provide home delivered meals to older adults that would normally be funded under Title III-C-2.  In terms of match requirements</w:t>
      </w:r>
      <w:r w:rsidR="00E93ADF">
        <w:t xml:space="preserve">, States are still required to meet overall match amounts, but they may be pooled.  </w:t>
      </w:r>
    </w:p>
    <w:p w14:paraId="37721285" w14:textId="77777777" w:rsidR="002E34AD" w:rsidRDefault="002E34AD" w:rsidP="006359E8">
      <w:pPr>
        <w:pStyle w:val="Heading1"/>
        <w:spacing w:before="360" w:after="120"/>
      </w:pPr>
    </w:p>
    <w:p w14:paraId="3CD25A8D" w14:textId="595F48A0" w:rsidR="002E34AD" w:rsidRDefault="002E34AD" w:rsidP="006359E8">
      <w:pPr>
        <w:pStyle w:val="Heading1"/>
        <w:spacing w:before="360" w:after="120"/>
      </w:pPr>
      <w:r>
        <w:t>Program Income</w:t>
      </w:r>
    </w:p>
    <w:p w14:paraId="62B6ECB9" w14:textId="5D0E2CC5" w:rsidR="002E34AD" w:rsidRDefault="002E34AD" w:rsidP="002E34AD">
      <w:r>
        <w:t>Program income may be used to expand any OAA service for the duration of the MDD.  Program income must be reported under the grant award number in which expenditures were made.</w:t>
      </w:r>
    </w:p>
    <w:p w14:paraId="3A23F751" w14:textId="77777777" w:rsidR="002E34AD" w:rsidRDefault="002E34AD" w:rsidP="002E34AD">
      <w:pPr>
        <w:pStyle w:val="Heading2"/>
      </w:pPr>
      <w:r>
        <w:t>Related Questions:</w:t>
      </w:r>
    </w:p>
    <w:p w14:paraId="51BB6D1D" w14:textId="77777777" w:rsidR="002E34AD" w:rsidRPr="002E34AD" w:rsidRDefault="002E34AD" w:rsidP="002E34AD">
      <w:pPr>
        <w:pStyle w:val="ListParagraph"/>
        <w:numPr>
          <w:ilvl w:val="0"/>
          <w:numId w:val="20"/>
        </w:numPr>
        <w:tabs>
          <w:tab w:val="left" w:pos="720"/>
        </w:tabs>
        <w:rPr>
          <w:rFonts w:cs="Calibri"/>
        </w:rPr>
      </w:pPr>
      <w:r w:rsidRPr="002E34AD">
        <w:rPr>
          <w:rFonts w:cs="Calibri"/>
        </w:rPr>
        <w:t>Can program income collected be “bucketed” for use on any program?</w:t>
      </w:r>
    </w:p>
    <w:p w14:paraId="37273995" w14:textId="77777777" w:rsidR="002E34AD" w:rsidRDefault="002E34AD" w:rsidP="002E34AD">
      <w:pPr>
        <w:pStyle w:val="ListParagraph"/>
        <w:numPr>
          <w:ilvl w:val="1"/>
          <w:numId w:val="19"/>
        </w:numPr>
        <w:tabs>
          <w:tab w:val="left" w:pos="720"/>
        </w:tabs>
        <w:rPr>
          <w:rFonts w:cs="Calibri"/>
        </w:rPr>
      </w:pPr>
      <w:r>
        <w:rPr>
          <w:rFonts w:cs="Calibri"/>
        </w:rPr>
        <w:t>Yes, with a major disaster declaration funding during the time period may be expended on OAA allowed activities.</w:t>
      </w:r>
    </w:p>
    <w:p w14:paraId="5DE0829B" w14:textId="1419A6F8" w:rsidR="002E34AD" w:rsidRPr="002E34AD" w:rsidRDefault="002E34AD" w:rsidP="002E34AD">
      <w:pPr>
        <w:pStyle w:val="ListParagraph"/>
        <w:numPr>
          <w:ilvl w:val="0"/>
          <w:numId w:val="20"/>
        </w:numPr>
        <w:tabs>
          <w:tab w:val="left" w:pos="720"/>
        </w:tabs>
        <w:rPr>
          <w:rFonts w:cs="Calibri"/>
        </w:rPr>
      </w:pPr>
      <w:r w:rsidRPr="002E34AD">
        <w:rPr>
          <w:rFonts w:cs="Calibri"/>
        </w:rPr>
        <w:t>How should program income be reported when we are collecting and expending funds out of multiple finding sources?</w:t>
      </w:r>
    </w:p>
    <w:p w14:paraId="08FF4AEE" w14:textId="54FFB96F" w:rsidR="002E34AD" w:rsidRDefault="002E34AD" w:rsidP="002E34AD">
      <w:pPr>
        <w:pStyle w:val="ListParagraph"/>
        <w:numPr>
          <w:ilvl w:val="1"/>
          <w:numId w:val="19"/>
        </w:numPr>
        <w:tabs>
          <w:tab w:val="left" w:pos="720"/>
        </w:tabs>
        <w:rPr>
          <w:rFonts w:cs="Calibri"/>
        </w:rPr>
      </w:pPr>
      <w:r>
        <w:rPr>
          <w:rFonts w:cs="Calibri"/>
        </w:rPr>
        <w:t xml:space="preserve">Program income must be reported on financial reports under the grant award number in which funds were expended for the service.  </w:t>
      </w:r>
      <w:proofErr w:type="gramStart"/>
      <w:r>
        <w:rPr>
          <w:rFonts w:cs="Calibri"/>
        </w:rPr>
        <w:t>i.e</w:t>
      </w:r>
      <w:proofErr w:type="gramEnd"/>
      <w:r>
        <w:rPr>
          <w:rFonts w:cs="Calibri"/>
        </w:rPr>
        <w:t xml:space="preserve">. Title IIIE funds are paying for home delivered meals which would typically be paid out of C-2, the program income should still be reported under Title III E and not C-2. </w:t>
      </w:r>
    </w:p>
    <w:p w14:paraId="74781F1E" w14:textId="470C45E7" w:rsidR="002E34AD" w:rsidRPr="002E34AD" w:rsidRDefault="002E34AD" w:rsidP="002E34AD">
      <w:r>
        <w:t xml:space="preserve">   </w:t>
      </w:r>
    </w:p>
    <w:p w14:paraId="71E4652B" w14:textId="68F93E27" w:rsidR="006359E8" w:rsidRDefault="006359E8" w:rsidP="006359E8">
      <w:pPr>
        <w:pStyle w:val="Heading1"/>
        <w:spacing w:before="360" w:after="120"/>
        <w:rPr>
          <w:rFonts w:ascii="Times New Roman" w:hAnsi="Times New Roman" w:cs="Times New Roman"/>
          <w:sz w:val="24"/>
          <w:szCs w:val="24"/>
        </w:rPr>
      </w:pPr>
      <w:r>
        <w:t>Fiscal Reporting</w:t>
      </w:r>
    </w:p>
    <w:p w14:paraId="620A0800" w14:textId="4B34F022" w:rsidR="006359E8" w:rsidRDefault="006359E8" w:rsidP="006359E8">
      <w:pPr>
        <w:pStyle w:val="NoSpacing"/>
        <w:spacing w:before="120" w:after="120"/>
      </w:pPr>
      <w:r>
        <w:t>For purpo</w:t>
      </w:r>
      <w:r w:rsidR="008470C4">
        <w:t>ses of reporting on the SF-425, States should be prepared to report as follows:</w:t>
      </w:r>
    </w:p>
    <w:p w14:paraId="0033E707" w14:textId="06C5E518" w:rsidR="00853F69" w:rsidRDefault="00853F69" w:rsidP="008470C4">
      <w:pPr>
        <w:pStyle w:val="ListParagraph"/>
      </w:pPr>
      <w:r>
        <w:t xml:space="preserve">States will continue to use the SF-425 </w:t>
      </w:r>
      <w:r w:rsidR="00BE3708">
        <w:t xml:space="preserve">and the Title III Supplemental form to the SF-425 </w:t>
      </w:r>
      <w:r>
        <w:t>to report OAA Title III expenditures, including if a State exercises flexibilities under a MDD.</w:t>
      </w:r>
    </w:p>
    <w:p w14:paraId="41B3C9B8" w14:textId="722CF205" w:rsidR="00AE4DAE" w:rsidRDefault="00853F69" w:rsidP="00AE4DAE">
      <w:pPr>
        <w:pStyle w:val="ListParagraph"/>
      </w:pPr>
      <w:r>
        <w:t xml:space="preserve">States must separately track and report other sources of funding, including supplemental funding under the FFCRA and CARES Act.  </w:t>
      </w:r>
    </w:p>
    <w:p w14:paraId="634BFE6D" w14:textId="61C44D60" w:rsidR="008470C4" w:rsidRDefault="008470C4" w:rsidP="006359E8">
      <w:pPr>
        <w:pStyle w:val="ListParagraph"/>
      </w:pPr>
      <w:r>
        <w:t>Further guidance will be provided regarding programmatic reporting for States exercising flexibility with Title III funding under a MDD.  States should</w:t>
      </w:r>
      <w:r w:rsidR="00853F69">
        <w:t xml:space="preserve"> be prepared to</w:t>
      </w:r>
      <w:r>
        <w:t xml:space="preserve"> track the number of persons served, units provided, and related expenditures.</w:t>
      </w:r>
    </w:p>
    <w:p w14:paraId="42D95170" w14:textId="082CF77B" w:rsidR="00AE4DAE" w:rsidRPr="00AE4DAE" w:rsidRDefault="00AE4DAE" w:rsidP="00333201">
      <w:pPr>
        <w:pStyle w:val="ListParagraph"/>
        <w:numPr>
          <w:ilvl w:val="0"/>
          <w:numId w:val="0"/>
        </w:numPr>
        <w:ind w:left="720"/>
        <w:rPr>
          <w:highlight w:val="yellow"/>
        </w:rPr>
      </w:pPr>
    </w:p>
    <w:p w14:paraId="4A213C51" w14:textId="77777777" w:rsidR="00F13634" w:rsidRDefault="00F13634" w:rsidP="0097176C">
      <w:pPr>
        <w:pStyle w:val="Heading2"/>
      </w:pPr>
    </w:p>
    <w:p w14:paraId="2BF90E4A" w14:textId="77777777" w:rsidR="00D85188" w:rsidRPr="00D85188" w:rsidRDefault="00D85188" w:rsidP="00D85188"/>
    <w:sectPr w:rsidR="00D85188" w:rsidRPr="00D85188" w:rsidSect="00C578F6">
      <w:headerReference w:type="default" r:id="rId12"/>
      <w:footerReference w:type="default" r:id="rId13"/>
      <w:headerReference w:type="first" r:id="rId14"/>
      <w:footerReference w:type="first" r:id="rId15"/>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76BF5" w14:textId="77777777" w:rsidR="00EF0E0C" w:rsidRDefault="00EF0E0C" w:rsidP="00944993">
      <w:pPr>
        <w:spacing w:after="0" w:line="240" w:lineRule="auto"/>
      </w:pPr>
      <w:r>
        <w:separator/>
      </w:r>
    </w:p>
  </w:endnote>
  <w:endnote w:type="continuationSeparator" w:id="0">
    <w:p w14:paraId="643B162A" w14:textId="77777777" w:rsidR="00EF0E0C" w:rsidRDefault="00EF0E0C" w:rsidP="0094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7D30" w14:textId="1917E93A" w:rsidR="00944993" w:rsidRDefault="00944993" w:rsidP="00CF0395">
    <w:pPr>
      <w:pStyle w:val="Footer"/>
      <w:ind w:hanging="720"/>
    </w:pPr>
    <w:r>
      <w:rPr>
        <w:noProof/>
      </w:rPr>
      <w:drawing>
        <wp:anchor distT="0" distB="0" distL="114300" distR="114300" simplePos="0" relativeHeight="251658240" behindDoc="1" locked="0" layoutInCell="1" allowOverlap="1" wp14:anchorId="455B160F" wp14:editId="4D33EABF">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5B60" w14:textId="262A1FC3" w:rsidR="003364C4" w:rsidRDefault="003364C4">
    <w:pPr>
      <w:pStyle w:val="Footer"/>
    </w:pPr>
    <w:r>
      <w:rPr>
        <w:noProof/>
      </w:rPr>
      <w:drawing>
        <wp:anchor distT="0" distB="0" distL="114300" distR="114300" simplePos="0" relativeHeight="251660288" behindDoc="1" locked="0" layoutInCell="1" allowOverlap="1" wp14:anchorId="39113948" wp14:editId="32B53FCA">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57834" w14:textId="77777777" w:rsidR="00EF0E0C" w:rsidRDefault="00EF0E0C" w:rsidP="00944993">
      <w:pPr>
        <w:spacing w:after="0" w:line="240" w:lineRule="auto"/>
      </w:pPr>
      <w:r>
        <w:separator/>
      </w:r>
    </w:p>
  </w:footnote>
  <w:footnote w:type="continuationSeparator" w:id="0">
    <w:p w14:paraId="0F82B101" w14:textId="77777777" w:rsidR="00EF0E0C" w:rsidRDefault="00EF0E0C" w:rsidP="0094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AE17" w14:textId="45C0E176" w:rsidR="00944993" w:rsidRDefault="00944993" w:rsidP="00CF0395">
    <w:pPr>
      <w:pStyle w:val="Header"/>
      <w:ind w:hanging="720"/>
    </w:pPr>
  </w:p>
  <w:p w14:paraId="117D1F58" w14:textId="46AC0D64" w:rsidR="00E215C7" w:rsidRPr="003364C4" w:rsidRDefault="00CB3E17" w:rsidP="00C578F6">
    <w:pPr>
      <w:pStyle w:val="Header"/>
      <w:ind w:hanging="720"/>
      <w:jc w:val="right"/>
      <w:rPr>
        <w:rFonts w:ascii="Century Gothic" w:hAnsi="Century Gothic" w:cstheme="majorHAnsi"/>
        <w:color w:val="461214" w:themeColor="accent1" w:themeShade="80"/>
        <w:sz w:val="18"/>
        <w:szCs w:val="18"/>
      </w:rPr>
    </w:pPr>
    <w:r w:rsidRPr="003364C4">
      <w:rPr>
        <w:rFonts w:ascii="Century Gothic" w:hAnsi="Century Gothic" w:cstheme="majorHAnsi"/>
        <w:color w:val="461214" w:themeColor="accent1" w:themeShade="80"/>
        <w:sz w:val="18"/>
        <w:szCs w:val="18"/>
      </w:rPr>
      <w:t>ACL</w:t>
    </w:r>
    <w:r w:rsidR="00E215C7" w:rsidRPr="003364C4">
      <w:rPr>
        <w:rFonts w:ascii="Century Gothic" w:hAnsi="Century Gothic" w:cstheme="majorHAnsi"/>
        <w:color w:val="461214" w:themeColor="accent1" w:themeShade="80"/>
        <w:sz w:val="18"/>
        <w:szCs w:val="18"/>
      </w:rPr>
      <w:t xml:space="preserve"> COVID-19 Response</w:t>
    </w:r>
    <w:r w:rsidRPr="003364C4">
      <w:rPr>
        <w:rFonts w:ascii="Century Gothic" w:hAnsi="Century Gothic" w:cstheme="majorHAnsi"/>
        <w:color w:val="461214" w:themeColor="accent1" w:themeShade="80"/>
        <w:sz w:val="18"/>
        <w:szCs w:val="18"/>
      </w:rPr>
      <w:t xml:space="preserve"> · </w:t>
    </w:r>
    <w:r w:rsidR="0059573D">
      <w:rPr>
        <w:rFonts w:ascii="Century Gothic" w:hAnsi="Century Gothic" w:cstheme="majorHAnsi"/>
        <w:color w:val="461214" w:themeColor="accent1" w:themeShade="80"/>
        <w:sz w:val="18"/>
        <w:szCs w:val="18"/>
      </w:rPr>
      <w:t>Fiscal FAQ MDD</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D651A9">
      <w:rPr>
        <w:rFonts w:ascii="Century Gothic" w:hAnsi="Century Gothic" w:cstheme="majorHAnsi"/>
        <w:noProof/>
        <w:color w:val="461214" w:themeColor="accent1" w:themeShade="80"/>
        <w:sz w:val="18"/>
        <w:szCs w:val="18"/>
      </w:rPr>
      <w:t>3</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34E8E" w14:textId="1C820FB3" w:rsidR="00A01C01" w:rsidRDefault="00A01C01" w:rsidP="00A01C01">
    <w:pPr>
      <w:pStyle w:val="Header"/>
      <w:ind w:hanging="720"/>
    </w:pPr>
    <w:r>
      <w:rPr>
        <w:noProof/>
      </w:rPr>
      <w:drawing>
        <wp:inline distT="0" distB="0" distL="0" distR="0" wp14:anchorId="44A0F89B" wp14:editId="6AEBA5D2">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EE8"/>
    <w:multiLevelType w:val="hybridMultilevel"/>
    <w:tmpl w:val="9990CC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22423"/>
    <w:multiLevelType w:val="hybridMultilevel"/>
    <w:tmpl w:val="DB722CC8"/>
    <w:lvl w:ilvl="0" w:tplc="A49EC57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3582D"/>
    <w:multiLevelType w:val="hybridMultilevel"/>
    <w:tmpl w:val="01E29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D2CB6"/>
    <w:multiLevelType w:val="hybridMultilevel"/>
    <w:tmpl w:val="4DA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E63C5"/>
    <w:multiLevelType w:val="hybridMultilevel"/>
    <w:tmpl w:val="ABF2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80D9D"/>
    <w:multiLevelType w:val="hybridMultilevel"/>
    <w:tmpl w:val="77CC389A"/>
    <w:lvl w:ilvl="0" w:tplc="B0CE62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B23F6D"/>
    <w:multiLevelType w:val="hybridMultilevel"/>
    <w:tmpl w:val="48881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14C09"/>
    <w:multiLevelType w:val="hybridMultilevel"/>
    <w:tmpl w:val="9990CC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818D2"/>
    <w:multiLevelType w:val="hybridMultilevel"/>
    <w:tmpl w:val="415E1A58"/>
    <w:lvl w:ilvl="0" w:tplc="4DAE66F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F5C27"/>
    <w:multiLevelType w:val="hybridMultilevel"/>
    <w:tmpl w:val="3CA4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2584E"/>
    <w:multiLevelType w:val="hybridMultilevel"/>
    <w:tmpl w:val="CF080454"/>
    <w:lvl w:ilvl="0" w:tplc="4DAE66F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3527E1"/>
    <w:multiLevelType w:val="hybridMultilevel"/>
    <w:tmpl w:val="63620042"/>
    <w:lvl w:ilvl="0" w:tplc="4DAE66F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94F5AA0"/>
    <w:multiLevelType w:val="hybridMultilevel"/>
    <w:tmpl w:val="36303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56C01"/>
    <w:multiLevelType w:val="hybridMultilevel"/>
    <w:tmpl w:val="32F43F4C"/>
    <w:lvl w:ilvl="0" w:tplc="0409000F">
      <w:start w:val="9"/>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CA9373B"/>
    <w:multiLevelType w:val="hybridMultilevel"/>
    <w:tmpl w:val="0C3A76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5"/>
  </w:num>
  <w:num w:numId="3">
    <w:abstractNumId w:val="12"/>
  </w:num>
  <w:num w:numId="4">
    <w:abstractNumId w:val="7"/>
  </w:num>
  <w:num w:numId="5">
    <w:abstractNumId w:val="11"/>
  </w:num>
  <w:num w:numId="6">
    <w:abstractNumId w:val="15"/>
  </w:num>
  <w:num w:numId="7">
    <w:abstractNumId w:val="12"/>
  </w:num>
  <w:num w:numId="8">
    <w:abstractNumId w:val="12"/>
  </w:num>
  <w:num w:numId="9">
    <w:abstractNumId w:val="3"/>
  </w:num>
  <w:num w:numId="10">
    <w:abstractNumId w:val="0"/>
  </w:num>
  <w:num w:numId="11">
    <w:abstractNumId w:val="4"/>
  </w:num>
  <w:num w:numId="12">
    <w:abstractNumId w:val="8"/>
  </w:num>
  <w:num w:numId="13">
    <w:abstractNumId w:val="10"/>
  </w:num>
  <w:num w:numId="14">
    <w:abstractNumId w:val="9"/>
  </w:num>
  <w:num w:numId="15">
    <w:abstractNumId w:val="12"/>
  </w:num>
  <w:num w:numId="16">
    <w:abstractNumId w:val="1"/>
  </w:num>
  <w:num w:numId="17">
    <w:abstractNumId w:val="6"/>
  </w:num>
  <w:num w:numId="18">
    <w:abstractNumId w:val="13"/>
  </w:num>
  <w:num w:numId="19">
    <w:abstractNumId w:val="14"/>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3"/>
    <w:rsid w:val="00001311"/>
    <w:rsid w:val="00041940"/>
    <w:rsid w:val="000549CF"/>
    <w:rsid w:val="00064404"/>
    <w:rsid w:val="000D69C7"/>
    <w:rsid w:val="000F6E1C"/>
    <w:rsid w:val="00116C89"/>
    <w:rsid w:val="0011786F"/>
    <w:rsid w:val="00131E50"/>
    <w:rsid w:val="00134744"/>
    <w:rsid w:val="00166E48"/>
    <w:rsid w:val="0028282F"/>
    <w:rsid w:val="0028369D"/>
    <w:rsid w:val="002D489B"/>
    <w:rsid w:val="002D6AB7"/>
    <w:rsid w:val="002E34AD"/>
    <w:rsid w:val="002E3B47"/>
    <w:rsid w:val="002E57B5"/>
    <w:rsid w:val="002F76B9"/>
    <w:rsid w:val="00321C6E"/>
    <w:rsid w:val="00333201"/>
    <w:rsid w:val="003364C4"/>
    <w:rsid w:val="003840DA"/>
    <w:rsid w:val="003C152C"/>
    <w:rsid w:val="003D6E07"/>
    <w:rsid w:val="003F3BD8"/>
    <w:rsid w:val="00425DA8"/>
    <w:rsid w:val="00440037"/>
    <w:rsid w:val="004800DD"/>
    <w:rsid w:val="004C1CC9"/>
    <w:rsid w:val="004F7254"/>
    <w:rsid w:val="00500C9D"/>
    <w:rsid w:val="0059573D"/>
    <w:rsid w:val="005A5DD8"/>
    <w:rsid w:val="005C1FE3"/>
    <w:rsid w:val="005E73E2"/>
    <w:rsid w:val="00600939"/>
    <w:rsid w:val="006359E8"/>
    <w:rsid w:val="00673015"/>
    <w:rsid w:val="00673318"/>
    <w:rsid w:val="006A20AB"/>
    <w:rsid w:val="006C5FA0"/>
    <w:rsid w:val="00782AEA"/>
    <w:rsid w:val="007D067A"/>
    <w:rsid w:val="008367DA"/>
    <w:rsid w:val="008470C4"/>
    <w:rsid w:val="00847A18"/>
    <w:rsid w:val="00853F69"/>
    <w:rsid w:val="0088328E"/>
    <w:rsid w:val="008B5244"/>
    <w:rsid w:val="008C4C77"/>
    <w:rsid w:val="008D2DA4"/>
    <w:rsid w:val="00944993"/>
    <w:rsid w:val="00960013"/>
    <w:rsid w:val="0097176C"/>
    <w:rsid w:val="009E7426"/>
    <w:rsid w:val="00A01C01"/>
    <w:rsid w:val="00A032E7"/>
    <w:rsid w:val="00A42976"/>
    <w:rsid w:val="00AA2A4A"/>
    <w:rsid w:val="00AC0896"/>
    <w:rsid w:val="00AE4DAE"/>
    <w:rsid w:val="00B00A1E"/>
    <w:rsid w:val="00B53E1E"/>
    <w:rsid w:val="00B67174"/>
    <w:rsid w:val="00B67B41"/>
    <w:rsid w:val="00B931F7"/>
    <w:rsid w:val="00BA6840"/>
    <w:rsid w:val="00BB78A4"/>
    <w:rsid w:val="00BE3708"/>
    <w:rsid w:val="00C34494"/>
    <w:rsid w:val="00C578F6"/>
    <w:rsid w:val="00C973A4"/>
    <w:rsid w:val="00CB3E17"/>
    <w:rsid w:val="00CE132A"/>
    <w:rsid w:val="00CE3B9D"/>
    <w:rsid w:val="00CF0395"/>
    <w:rsid w:val="00D07DF7"/>
    <w:rsid w:val="00D11A4D"/>
    <w:rsid w:val="00D11DB7"/>
    <w:rsid w:val="00D46C58"/>
    <w:rsid w:val="00D57C43"/>
    <w:rsid w:val="00D60EC6"/>
    <w:rsid w:val="00D651A9"/>
    <w:rsid w:val="00D85188"/>
    <w:rsid w:val="00D931F3"/>
    <w:rsid w:val="00E215C7"/>
    <w:rsid w:val="00E55FE5"/>
    <w:rsid w:val="00E8435D"/>
    <w:rsid w:val="00E9369E"/>
    <w:rsid w:val="00E93ADF"/>
    <w:rsid w:val="00E941C5"/>
    <w:rsid w:val="00EF0E0C"/>
    <w:rsid w:val="00EF17B5"/>
    <w:rsid w:val="00F01057"/>
    <w:rsid w:val="00F04978"/>
    <w:rsid w:val="00F13634"/>
    <w:rsid w:val="00F22893"/>
    <w:rsid w:val="00F65B37"/>
    <w:rsid w:val="00F725EA"/>
    <w:rsid w:val="00F87A89"/>
    <w:rsid w:val="00FE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E18DBC"/>
  <w15:chartTrackingRefBased/>
  <w15:docId w15:val="{2740D699-DC94-4E4A-811B-AB12B209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C89"/>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basedOn w:val="NoSpacing"/>
    <w:uiPriority w:val="34"/>
    <w:qFormat/>
    <w:rsid w:val="00F22893"/>
    <w:pPr>
      <w:numPr>
        <w:numId w:val="3"/>
      </w:numPr>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
    <w:name w:val="Unresolved Mention"/>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064404"/>
    <w:rPr>
      <w:sz w:val="16"/>
      <w:szCs w:val="16"/>
    </w:rPr>
  </w:style>
  <w:style w:type="paragraph" w:styleId="CommentText">
    <w:name w:val="annotation text"/>
    <w:basedOn w:val="Normal"/>
    <w:link w:val="CommentTextChar"/>
    <w:uiPriority w:val="99"/>
    <w:semiHidden/>
    <w:unhideWhenUsed/>
    <w:rsid w:val="00064404"/>
    <w:pPr>
      <w:spacing w:line="240" w:lineRule="auto"/>
    </w:pPr>
    <w:rPr>
      <w:sz w:val="20"/>
      <w:szCs w:val="20"/>
    </w:rPr>
  </w:style>
  <w:style w:type="character" w:customStyle="1" w:styleId="CommentTextChar">
    <w:name w:val="Comment Text Char"/>
    <w:basedOn w:val="DefaultParagraphFont"/>
    <w:link w:val="CommentText"/>
    <w:uiPriority w:val="99"/>
    <w:semiHidden/>
    <w:rsid w:val="00064404"/>
    <w:rPr>
      <w:sz w:val="20"/>
      <w:szCs w:val="20"/>
    </w:rPr>
  </w:style>
  <w:style w:type="paragraph" w:styleId="CommentSubject">
    <w:name w:val="annotation subject"/>
    <w:basedOn w:val="CommentText"/>
    <w:next w:val="CommentText"/>
    <w:link w:val="CommentSubjectChar"/>
    <w:uiPriority w:val="99"/>
    <w:semiHidden/>
    <w:unhideWhenUsed/>
    <w:rsid w:val="00064404"/>
    <w:rPr>
      <w:b/>
      <w:bCs/>
    </w:rPr>
  </w:style>
  <w:style w:type="character" w:customStyle="1" w:styleId="CommentSubjectChar">
    <w:name w:val="Comment Subject Char"/>
    <w:basedOn w:val="CommentTextChar"/>
    <w:link w:val="CommentSubject"/>
    <w:uiPriority w:val="99"/>
    <w:semiHidden/>
    <w:rsid w:val="00064404"/>
    <w:rPr>
      <w:b/>
      <w:bCs/>
      <w:sz w:val="20"/>
      <w:szCs w:val="20"/>
    </w:rPr>
  </w:style>
  <w:style w:type="paragraph" w:styleId="Revision">
    <w:name w:val="Revision"/>
    <w:hidden/>
    <w:uiPriority w:val="99"/>
    <w:semiHidden/>
    <w:rsid w:val="00064404"/>
    <w:pPr>
      <w:spacing w:after="0" w:line="240" w:lineRule="auto"/>
    </w:pPr>
  </w:style>
  <w:style w:type="paragraph" w:styleId="BalloonText">
    <w:name w:val="Balloon Text"/>
    <w:basedOn w:val="Normal"/>
    <w:link w:val="BalloonTextChar"/>
    <w:uiPriority w:val="99"/>
    <w:semiHidden/>
    <w:unhideWhenUsed/>
    <w:rsid w:val="00064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892503">
      <w:bodyDiv w:val="1"/>
      <w:marLeft w:val="0"/>
      <w:marRight w:val="0"/>
      <w:marTop w:val="0"/>
      <w:marBottom w:val="0"/>
      <w:divBdr>
        <w:top w:val="none" w:sz="0" w:space="0" w:color="auto"/>
        <w:left w:val="none" w:sz="0" w:space="0" w:color="auto"/>
        <w:bottom w:val="none" w:sz="0" w:space="0" w:color="auto"/>
        <w:right w:val="none" w:sz="0" w:space="0" w:color="auto"/>
      </w:divBdr>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246456844">
      <w:bodyDiv w:val="1"/>
      <w:marLeft w:val="0"/>
      <w:marRight w:val="0"/>
      <w:marTop w:val="0"/>
      <w:marBottom w:val="0"/>
      <w:divBdr>
        <w:top w:val="none" w:sz="0" w:space="0" w:color="auto"/>
        <w:left w:val="none" w:sz="0" w:space="0" w:color="auto"/>
        <w:bottom w:val="none" w:sz="0" w:space="0" w:color="auto"/>
        <w:right w:val="none" w:sz="0" w:space="0" w:color="auto"/>
      </w:divBdr>
    </w:div>
    <w:div w:id="198083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l.gov/sites/default/files/COVID19/OAADisasterRelief_2020-03-16.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3" ma:contentTypeDescription="Create a new document." ma:contentTypeScope="" ma:versionID="4dbccb96b4e8c09674ea1b998ec7e0df">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917f1a3b2c7ab97210bf28cd914e1558"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2.xml><?xml version="1.0" encoding="utf-8"?>
<ds:datastoreItem xmlns:ds="http://schemas.openxmlformats.org/officeDocument/2006/customXml" ds:itemID="{EB640F0F-DFB6-41E9-A9FF-889A334C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3442B-1472-4387-891A-1215A651A37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c4568af-78d6-4de7-8a7f-d4a1b22f7f5e"/>
    <ds:schemaRef ds:uri="http://purl.org/dc/elements/1.1/"/>
    <ds:schemaRef ds:uri="http://schemas.microsoft.com/office/2006/metadata/properties"/>
    <ds:schemaRef ds:uri="cba8d4a1-0a1c-4299-93a5-2682bf5a17ad"/>
    <ds:schemaRef ds:uri="http://www.w3.org/XML/1998/namespace"/>
  </ds:schemaRefs>
</ds:datastoreItem>
</file>

<file path=customXml/itemProps4.xml><?xml version="1.0" encoding="utf-8"?>
<ds:datastoreItem xmlns:ds="http://schemas.openxmlformats.org/officeDocument/2006/customXml" ds:itemID="{4EBCFF14-D93E-444D-AC1D-3CE055D0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COVID-19 Response</dc:title>
  <dc:subject/>
  <dc:creator>Administration for Community Living</dc:creator>
  <cp:keywords/>
  <dc:description/>
  <cp:lastModifiedBy>Walker, Edwin L. (ACL)</cp:lastModifiedBy>
  <cp:revision>2</cp:revision>
  <dcterms:created xsi:type="dcterms:W3CDTF">2020-04-08T12:43:00Z</dcterms:created>
  <dcterms:modified xsi:type="dcterms:W3CDTF">2020-04-08T12:43:00Z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