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4DF9287A" w:rsidR="00D11A4D" w:rsidRPr="002E3B47" w:rsidRDefault="00D94ED3" w:rsidP="0059020F">
      <w:pPr>
        <w:pStyle w:val="Title"/>
      </w:pPr>
      <w:bookmarkStart w:id="0" w:name="_GoBack"/>
      <w:bookmarkEnd w:id="0"/>
      <w:r>
        <w:t xml:space="preserve">FAQs - </w:t>
      </w:r>
      <w:r w:rsidR="00AB0DDF" w:rsidRPr="00AB0DDF">
        <w:t>PROGRAM REPORTING GUIDANCE – COVID RESPONSE</w:t>
      </w:r>
    </w:p>
    <w:p w14:paraId="0B20225B" w14:textId="5BCEED70" w:rsidR="0028282F" w:rsidRPr="002E3B47" w:rsidRDefault="00741C6C" w:rsidP="0059020F">
      <w:pPr>
        <w:pStyle w:val="Subtitle"/>
      </w:pPr>
      <w:r w:rsidRPr="00741C6C">
        <w:t>ACL Title III Older Americans Act – State Program Report (SPR)</w:t>
      </w:r>
    </w:p>
    <w:p w14:paraId="59DA3624" w14:textId="728C9EE6" w:rsidR="00F01057" w:rsidRDefault="00C356A8" w:rsidP="0059020F">
      <w:pPr>
        <w:spacing w:after="360"/>
        <w:rPr>
          <w:rStyle w:val="SubtleEmphasis"/>
        </w:rPr>
      </w:pPr>
      <w:r>
        <w:rPr>
          <w:rStyle w:val="SubtleEmphasis"/>
        </w:rPr>
        <w:t>June 4</w:t>
      </w:r>
      <w:r w:rsidR="00741C6C">
        <w:rPr>
          <w:rStyle w:val="SubtleEmphasis"/>
        </w:rPr>
        <w:t>, 2020</w:t>
      </w:r>
      <w:r w:rsidR="0070414F">
        <w:rPr>
          <w:rStyle w:val="SubtleEmphasis"/>
        </w:rPr>
        <w:t xml:space="preserve"> </w:t>
      </w:r>
    </w:p>
    <w:p w14:paraId="500A06DA" w14:textId="709DEF03" w:rsidR="00D94ED3" w:rsidRDefault="004A4EEB" w:rsidP="004E0E33">
      <w:pPr>
        <w:pStyle w:val="ListParagraph"/>
        <w:numPr>
          <w:ilvl w:val="0"/>
          <w:numId w:val="8"/>
        </w:numPr>
      </w:pPr>
      <w:r>
        <w:t>H</w:t>
      </w:r>
      <w:r w:rsidR="008C057F">
        <w:t>ow</w:t>
      </w:r>
      <w:r>
        <w:t xml:space="preserve"> should</w:t>
      </w:r>
      <w:r w:rsidR="008C057F">
        <w:t xml:space="preserve"> SUAs</w:t>
      </w:r>
      <w:r w:rsidR="00D52579">
        <w:t xml:space="preserve"> report </w:t>
      </w:r>
      <w:r w:rsidR="00D94ED3">
        <w:t xml:space="preserve">Program Income generated with funds expended under </w:t>
      </w:r>
      <w:r w:rsidR="00DD18A0">
        <w:t>Major Disaster Declaration (</w:t>
      </w:r>
      <w:r w:rsidR="00D94ED3">
        <w:t>MDD</w:t>
      </w:r>
      <w:r w:rsidR="00DD18A0">
        <w:t>)</w:t>
      </w:r>
      <w:r w:rsidR="00D94ED3">
        <w:t xml:space="preserve"> flexibilities in the SPR?</w:t>
      </w:r>
      <w:r>
        <w:t xml:space="preserve">  Is there a difference between how Program Income information is reported in the SPR versus in fiscal reports to ACL?</w:t>
      </w:r>
    </w:p>
    <w:p w14:paraId="3ABA70F6" w14:textId="77777777" w:rsidR="004E0E33" w:rsidRPr="004E0E33" w:rsidRDefault="004E0E33" w:rsidP="004E0E33">
      <w:pPr>
        <w:pStyle w:val="ListParagraph"/>
        <w:numPr>
          <w:ilvl w:val="0"/>
          <w:numId w:val="0"/>
        </w:numPr>
        <w:ind w:left="720"/>
        <w:rPr>
          <w:rFonts w:ascii="Calibri" w:hAnsi="Calibri" w:cs="Calibri"/>
        </w:rPr>
      </w:pPr>
    </w:p>
    <w:p w14:paraId="15212DA9" w14:textId="0F179FD6" w:rsidR="00D94ED3" w:rsidRPr="008C057F" w:rsidRDefault="004E0E33" w:rsidP="008C057F">
      <w:pPr>
        <w:pStyle w:val="ListParagraph"/>
        <w:numPr>
          <w:ilvl w:val="0"/>
          <w:numId w:val="0"/>
        </w:numPr>
        <w:ind w:left="720"/>
        <w:rPr>
          <w:rFonts w:ascii="Calibri" w:hAnsi="Calibri" w:cs="Calibri"/>
        </w:rPr>
      </w:pPr>
      <w:r w:rsidRPr="004E0E33">
        <w:rPr>
          <w:rFonts w:ascii="Calibri" w:hAnsi="Calibri" w:cs="Calibri"/>
        </w:rPr>
        <w:t>Program Income should be reported i</w:t>
      </w:r>
      <w:r w:rsidR="00D52579" w:rsidRPr="004E0E33">
        <w:rPr>
          <w:rFonts w:ascii="Calibri" w:hAnsi="Calibri" w:cs="Calibri"/>
        </w:rPr>
        <w:t xml:space="preserve">n the </w:t>
      </w:r>
      <w:r w:rsidRPr="00C356A8">
        <w:rPr>
          <w:rFonts w:ascii="Calibri" w:hAnsi="Calibri" w:cs="Calibri"/>
          <w:b/>
        </w:rPr>
        <w:t>SPR</w:t>
      </w:r>
      <w:r w:rsidR="00D52579" w:rsidRPr="00C356A8">
        <w:rPr>
          <w:rFonts w:ascii="Calibri" w:hAnsi="Calibri" w:cs="Calibri"/>
          <w:b/>
        </w:rPr>
        <w:t xml:space="preserve"> </w:t>
      </w:r>
      <w:r w:rsidRPr="00FB149E">
        <w:rPr>
          <w:rFonts w:ascii="Calibri" w:hAnsi="Calibri" w:cs="Calibri"/>
          <w:b/>
        </w:rPr>
        <w:t>p</w:t>
      </w:r>
      <w:r w:rsidRPr="004E0E33">
        <w:rPr>
          <w:rFonts w:ascii="Calibri" w:hAnsi="Calibri" w:cs="Calibri"/>
          <w:b/>
        </w:rPr>
        <w:t>rogrammatic report</w:t>
      </w:r>
      <w:r>
        <w:rPr>
          <w:rFonts w:ascii="Calibri" w:hAnsi="Calibri" w:cs="Calibri"/>
        </w:rPr>
        <w:t xml:space="preserve"> </w:t>
      </w:r>
      <w:r w:rsidR="00D52579" w:rsidRPr="004E0E33">
        <w:rPr>
          <w:rFonts w:ascii="Calibri" w:hAnsi="Calibri" w:cs="Calibri"/>
        </w:rPr>
        <w:t xml:space="preserve">for the service </w:t>
      </w:r>
      <w:r>
        <w:rPr>
          <w:rFonts w:ascii="Calibri" w:hAnsi="Calibri" w:cs="Calibri"/>
        </w:rPr>
        <w:t xml:space="preserve">from which it </w:t>
      </w:r>
      <w:r w:rsidR="00D52579" w:rsidRPr="004E0E33">
        <w:rPr>
          <w:rFonts w:ascii="Calibri" w:hAnsi="Calibri" w:cs="Calibri"/>
        </w:rPr>
        <w:t xml:space="preserve">was collected.  </w:t>
      </w:r>
      <w:r w:rsidR="00AA331A" w:rsidRPr="004E0E33">
        <w:t>T</w:t>
      </w:r>
      <w:r w:rsidR="00066173" w:rsidRPr="004E0E33">
        <w:t xml:space="preserve">he SPR requires Program Income to </w:t>
      </w:r>
      <w:proofErr w:type="gramStart"/>
      <w:r w:rsidR="00066173" w:rsidRPr="004E0E33">
        <w:t>be</w:t>
      </w:r>
      <w:proofErr w:type="gramEnd"/>
      <w:r w:rsidR="00066173" w:rsidRPr="004E0E33">
        <w:t xml:space="preserve"> reported as follows:</w:t>
      </w:r>
    </w:p>
    <w:p w14:paraId="68688BD6" w14:textId="77777777" w:rsidR="004E0E33" w:rsidRPr="004E0E33" w:rsidRDefault="004E0E33" w:rsidP="004E0E33">
      <w:pPr>
        <w:pStyle w:val="ListParagraph"/>
        <w:numPr>
          <w:ilvl w:val="0"/>
          <w:numId w:val="0"/>
        </w:numPr>
        <w:ind w:left="1440"/>
      </w:pPr>
    </w:p>
    <w:p w14:paraId="2C87B513" w14:textId="0D51E379" w:rsidR="00066173" w:rsidRPr="004E0E33" w:rsidRDefault="008C057F" w:rsidP="004E0E33">
      <w:pPr>
        <w:pStyle w:val="ListParagraph"/>
        <w:numPr>
          <w:ilvl w:val="0"/>
          <w:numId w:val="10"/>
        </w:numPr>
        <w:ind w:left="1800"/>
      </w:pPr>
      <w:r>
        <w:t>By service w</w:t>
      </w:r>
      <w:r w:rsidR="006D2485" w:rsidRPr="004E0E33">
        <w:t xml:space="preserve">hen expended </w:t>
      </w:r>
      <w:r w:rsidR="00D52579" w:rsidRPr="004E0E33">
        <w:t>as a part of</w:t>
      </w:r>
      <w:r w:rsidR="00066173" w:rsidRPr="004E0E33">
        <w:t xml:space="preserve"> Total Expendit</w:t>
      </w:r>
      <w:r w:rsidR="00D52579" w:rsidRPr="004E0E33">
        <w:t>ures on Section II.A, II.B, II.C</w:t>
      </w:r>
      <w:r w:rsidR="00066173" w:rsidRPr="004E0E33">
        <w:t>, and II.E, as appropriate</w:t>
      </w:r>
    </w:p>
    <w:p w14:paraId="7EB05BD2" w14:textId="5DEC928B" w:rsidR="006D2485" w:rsidRPr="004E0E33" w:rsidRDefault="008C057F" w:rsidP="004E0E33">
      <w:pPr>
        <w:pStyle w:val="ListParagraph"/>
        <w:numPr>
          <w:ilvl w:val="0"/>
          <w:numId w:val="10"/>
        </w:numPr>
        <w:ind w:left="1800"/>
      </w:pPr>
      <w:r>
        <w:t>By service w</w:t>
      </w:r>
      <w:r w:rsidR="006D2485" w:rsidRPr="004E0E33">
        <w:t xml:space="preserve">hen received (i.e., collected) </w:t>
      </w:r>
      <w:r w:rsidR="00D52579" w:rsidRPr="004E0E33">
        <w:t>under Program Income Received on Section II.A, II.B or II.C, as appropriate</w:t>
      </w:r>
    </w:p>
    <w:p w14:paraId="7B337398" w14:textId="77777777" w:rsidR="004A4EEB" w:rsidRDefault="004A4EEB" w:rsidP="004A4EEB">
      <w:pPr>
        <w:spacing w:after="0" w:line="240" w:lineRule="auto"/>
        <w:rPr>
          <w:rFonts w:ascii="Calibri" w:hAnsi="Calibri" w:cs="Calibri"/>
        </w:rPr>
      </w:pPr>
    </w:p>
    <w:p w14:paraId="0DD0C0D1" w14:textId="715BB70B" w:rsidR="004E0E33" w:rsidRPr="004E0E33" w:rsidRDefault="004A4EEB" w:rsidP="004A4EEB">
      <w:pPr>
        <w:spacing w:after="0" w:line="240" w:lineRule="auto"/>
        <w:ind w:left="720"/>
        <w:rPr>
          <w:rFonts w:ascii="Calibri" w:hAnsi="Calibri" w:cs="Calibri"/>
        </w:rPr>
      </w:pPr>
      <w:r>
        <w:rPr>
          <w:rFonts w:ascii="Calibri" w:hAnsi="Calibri" w:cs="Calibri"/>
        </w:rPr>
        <w:t>E</w:t>
      </w:r>
      <w:r w:rsidR="00D52579" w:rsidRPr="004E0E33">
        <w:rPr>
          <w:rFonts w:ascii="Calibri" w:hAnsi="Calibri" w:cs="Calibri"/>
        </w:rPr>
        <w:t>xa</w:t>
      </w:r>
      <w:r>
        <w:rPr>
          <w:rFonts w:ascii="Calibri" w:hAnsi="Calibri" w:cs="Calibri"/>
        </w:rPr>
        <w:t>mple: I</w:t>
      </w:r>
      <w:r w:rsidR="00D52579" w:rsidRPr="004E0E33">
        <w:rPr>
          <w:rFonts w:ascii="Calibri" w:hAnsi="Calibri" w:cs="Calibri"/>
        </w:rPr>
        <w:t>f a</w:t>
      </w:r>
      <w:r w:rsidR="008C057F">
        <w:rPr>
          <w:rFonts w:ascii="Calibri" w:hAnsi="Calibri" w:cs="Calibri"/>
        </w:rPr>
        <w:t xml:space="preserve"> SUA</w:t>
      </w:r>
      <w:r w:rsidR="00D52579" w:rsidRPr="004E0E33">
        <w:rPr>
          <w:rFonts w:ascii="Calibri" w:hAnsi="Calibri" w:cs="Calibri"/>
        </w:rPr>
        <w:t xml:space="preserve"> was allowing expenditures for home-delivered meals to be charged to the Ti</w:t>
      </w:r>
      <w:r w:rsidR="004E0E33" w:rsidRPr="004E0E33">
        <w:rPr>
          <w:rFonts w:ascii="Calibri" w:hAnsi="Calibri" w:cs="Calibri"/>
        </w:rPr>
        <w:t>tle III Part D program under the</w:t>
      </w:r>
      <w:r w:rsidR="00D52579" w:rsidRPr="004E0E33">
        <w:rPr>
          <w:rFonts w:ascii="Calibri" w:hAnsi="Calibri" w:cs="Calibri"/>
        </w:rPr>
        <w:t xml:space="preserve"> </w:t>
      </w:r>
      <w:r w:rsidR="000325DC">
        <w:rPr>
          <w:rFonts w:ascii="Calibri" w:hAnsi="Calibri" w:cs="Calibri"/>
        </w:rPr>
        <w:t xml:space="preserve">MDD </w:t>
      </w:r>
      <w:r w:rsidR="004E0E33" w:rsidRPr="004E0E33">
        <w:rPr>
          <w:rFonts w:ascii="Calibri" w:hAnsi="Calibri" w:cs="Calibri"/>
        </w:rPr>
        <w:t>flexibility, the Program I</w:t>
      </w:r>
      <w:r w:rsidR="00D52579" w:rsidRPr="004E0E33">
        <w:rPr>
          <w:rFonts w:ascii="Calibri" w:hAnsi="Calibri" w:cs="Calibri"/>
        </w:rPr>
        <w:t>ncome generated from such home-deliv</w:t>
      </w:r>
      <w:r w:rsidR="008C057F">
        <w:rPr>
          <w:rFonts w:ascii="Calibri" w:hAnsi="Calibri" w:cs="Calibri"/>
        </w:rPr>
        <w:t>ered meals would be reported under home-delivered meals</w:t>
      </w:r>
      <w:r>
        <w:rPr>
          <w:rFonts w:ascii="Calibri" w:hAnsi="Calibri" w:cs="Calibri"/>
        </w:rPr>
        <w:t xml:space="preserve"> in the SPR</w:t>
      </w:r>
      <w:r w:rsidR="00D52579" w:rsidRPr="004E0E33">
        <w:rPr>
          <w:rFonts w:ascii="Calibri" w:hAnsi="Calibri" w:cs="Calibri"/>
        </w:rPr>
        <w:t xml:space="preserve">.  </w:t>
      </w:r>
    </w:p>
    <w:p w14:paraId="0BAA41D6" w14:textId="77777777" w:rsidR="004E0E33" w:rsidRPr="004E0E33" w:rsidRDefault="004E0E33" w:rsidP="004E0E33">
      <w:pPr>
        <w:spacing w:after="0" w:line="240" w:lineRule="auto"/>
        <w:ind w:left="720"/>
      </w:pPr>
    </w:p>
    <w:p w14:paraId="3D5F5858" w14:textId="17B8DDFC" w:rsidR="004E0E33" w:rsidRDefault="004E0E33" w:rsidP="004E0E33">
      <w:pPr>
        <w:spacing w:after="0" w:line="240" w:lineRule="auto"/>
        <w:ind w:left="720"/>
        <w:rPr>
          <w:rFonts w:ascii="Calibri" w:eastAsia="Times New Roman" w:hAnsi="Calibri" w:cs="Calibri"/>
        </w:rPr>
      </w:pPr>
      <w:r>
        <w:t>Program I</w:t>
      </w:r>
      <w:r w:rsidR="008C057F">
        <w:t>ncome should be reported on</w:t>
      </w:r>
      <w:r w:rsidRPr="004E0E33">
        <w:t xml:space="preserve"> </w:t>
      </w:r>
      <w:r w:rsidRPr="004E0E33">
        <w:rPr>
          <w:b/>
        </w:rPr>
        <w:t>fiscal reports</w:t>
      </w:r>
      <w:r w:rsidRPr="004E0E33">
        <w:t xml:space="preserve"> from the Title and Part which funds were collected and expended.</w:t>
      </w:r>
      <w:r w:rsidRPr="004E0E33">
        <w:rPr>
          <w:b/>
        </w:rPr>
        <w:t xml:space="preserve">  </w:t>
      </w:r>
      <w:r w:rsidR="00066173" w:rsidRPr="004E0E33">
        <w:rPr>
          <w:rFonts w:ascii="Calibri" w:eastAsia="Times New Roman" w:hAnsi="Calibri" w:cs="Calibri"/>
        </w:rPr>
        <w:t xml:space="preserve">Program </w:t>
      </w:r>
      <w:r w:rsidR="00C037C5">
        <w:rPr>
          <w:rFonts w:ascii="Calibri" w:eastAsia="Times New Roman" w:hAnsi="Calibri" w:cs="Calibri"/>
        </w:rPr>
        <w:t>I</w:t>
      </w:r>
      <w:r w:rsidR="00066173" w:rsidRPr="004E0E33">
        <w:rPr>
          <w:rFonts w:ascii="Calibri" w:eastAsia="Times New Roman" w:hAnsi="Calibri" w:cs="Calibri"/>
        </w:rPr>
        <w:t>ncome must be reported on fi</w:t>
      </w:r>
      <w:r w:rsidR="009D7509">
        <w:rPr>
          <w:rFonts w:ascii="Calibri" w:eastAsia="Times New Roman" w:hAnsi="Calibri" w:cs="Calibri"/>
        </w:rPr>
        <w:t>scal</w:t>
      </w:r>
      <w:r w:rsidR="00066173" w:rsidRPr="004E0E33">
        <w:rPr>
          <w:rFonts w:ascii="Calibri" w:eastAsia="Times New Roman" w:hAnsi="Calibri" w:cs="Calibri"/>
        </w:rPr>
        <w:t xml:space="preserve"> reports under the grant award number in which funds were </w:t>
      </w:r>
      <w:r w:rsidR="00F36CF2">
        <w:rPr>
          <w:rFonts w:ascii="Calibri" w:eastAsia="Times New Roman" w:hAnsi="Calibri" w:cs="Calibri"/>
        </w:rPr>
        <w:t xml:space="preserve">collected and </w:t>
      </w:r>
      <w:r w:rsidR="00066173" w:rsidRPr="004E0E33">
        <w:rPr>
          <w:rFonts w:ascii="Calibri" w:eastAsia="Times New Roman" w:hAnsi="Calibri" w:cs="Calibri"/>
        </w:rPr>
        <w:t xml:space="preserve">expended.  </w:t>
      </w:r>
    </w:p>
    <w:p w14:paraId="4627F215" w14:textId="77777777" w:rsidR="004E0E33" w:rsidRDefault="004E0E33" w:rsidP="004E0E33">
      <w:pPr>
        <w:spacing w:after="0" w:line="240" w:lineRule="auto"/>
        <w:ind w:left="720"/>
        <w:rPr>
          <w:rFonts w:ascii="Calibri" w:eastAsia="Times New Roman" w:hAnsi="Calibri" w:cs="Calibri"/>
        </w:rPr>
      </w:pPr>
    </w:p>
    <w:p w14:paraId="732D47AE" w14:textId="7F60E4C6" w:rsidR="00926607" w:rsidRDefault="004A4EEB" w:rsidP="004A4EEB">
      <w:pPr>
        <w:spacing w:after="0" w:line="240" w:lineRule="auto"/>
        <w:ind w:left="720"/>
        <w:rPr>
          <w:rFonts w:ascii="Calibri" w:eastAsia="Times New Roman" w:hAnsi="Calibri" w:cs="Calibri"/>
        </w:rPr>
      </w:pPr>
      <w:r>
        <w:rPr>
          <w:rFonts w:ascii="Calibri" w:eastAsia="Times New Roman" w:hAnsi="Calibri" w:cs="Calibri"/>
        </w:rPr>
        <w:t>E</w:t>
      </w:r>
      <w:r w:rsidR="008C057F">
        <w:rPr>
          <w:rFonts w:ascii="Calibri" w:eastAsia="Times New Roman" w:hAnsi="Calibri" w:cs="Calibri"/>
        </w:rPr>
        <w:t>xample</w:t>
      </w:r>
      <w:r>
        <w:rPr>
          <w:rFonts w:ascii="Calibri" w:eastAsia="Times New Roman" w:hAnsi="Calibri" w:cs="Calibri"/>
        </w:rPr>
        <w:t>:  I</w:t>
      </w:r>
      <w:r w:rsidR="008C057F">
        <w:rPr>
          <w:rFonts w:ascii="Calibri" w:eastAsia="Times New Roman" w:hAnsi="Calibri" w:cs="Calibri"/>
        </w:rPr>
        <w:t>f a SUA</w:t>
      </w:r>
      <w:r w:rsidR="004E0E33" w:rsidRPr="004E0E33">
        <w:rPr>
          <w:rFonts w:ascii="Calibri" w:eastAsia="Times New Roman" w:hAnsi="Calibri" w:cs="Calibri"/>
        </w:rPr>
        <w:t xml:space="preserve"> was allowing expenditures for home-delivered meals to be charged to the Title III Part D program under the </w:t>
      </w:r>
      <w:r w:rsidR="000325DC">
        <w:rPr>
          <w:rFonts w:ascii="Calibri" w:eastAsia="Times New Roman" w:hAnsi="Calibri" w:cs="Calibri"/>
        </w:rPr>
        <w:t>MDD</w:t>
      </w:r>
      <w:r w:rsidR="004E0E33" w:rsidRPr="004E0E33">
        <w:rPr>
          <w:rFonts w:ascii="Calibri" w:eastAsia="Times New Roman" w:hAnsi="Calibri" w:cs="Calibri"/>
        </w:rPr>
        <w:t xml:space="preserve"> flexibility, the Program I</w:t>
      </w:r>
      <w:r w:rsidR="00066173" w:rsidRPr="004E0E33">
        <w:rPr>
          <w:rFonts w:ascii="Calibri" w:eastAsia="Times New Roman" w:hAnsi="Calibri" w:cs="Calibri"/>
        </w:rPr>
        <w:t xml:space="preserve">ncome </w:t>
      </w:r>
      <w:r w:rsidR="008C057F">
        <w:rPr>
          <w:rFonts w:ascii="Calibri" w:eastAsia="Times New Roman" w:hAnsi="Calibri" w:cs="Calibri"/>
        </w:rPr>
        <w:t>generated from such home-delivered meals w</w:t>
      </w:r>
      <w:r w:rsidR="004E0E33" w:rsidRPr="004E0E33">
        <w:rPr>
          <w:rFonts w:ascii="Calibri" w:eastAsia="Times New Roman" w:hAnsi="Calibri" w:cs="Calibri"/>
        </w:rPr>
        <w:t>ould</w:t>
      </w:r>
      <w:r w:rsidR="00066173" w:rsidRPr="004E0E33">
        <w:rPr>
          <w:rFonts w:ascii="Calibri" w:eastAsia="Times New Roman" w:hAnsi="Calibri" w:cs="Calibri"/>
        </w:rPr>
        <w:t xml:space="preserve"> be report</w:t>
      </w:r>
      <w:r w:rsidR="004E0E33" w:rsidRPr="004E0E33">
        <w:rPr>
          <w:rFonts w:ascii="Calibri" w:eastAsia="Times New Roman" w:hAnsi="Calibri" w:cs="Calibri"/>
        </w:rPr>
        <w:t>ed under Title III Part D</w:t>
      </w:r>
      <w:r>
        <w:rPr>
          <w:rFonts w:ascii="Calibri" w:eastAsia="Times New Roman" w:hAnsi="Calibri" w:cs="Calibri"/>
        </w:rPr>
        <w:t xml:space="preserve"> on fiscal reports</w:t>
      </w:r>
      <w:r w:rsidR="00C037C5">
        <w:rPr>
          <w:rFonts w:ascii="Calibri" w:eastAsia="Times New Roman" w:hAnsi="Calibri" w:cs="Calibri"/>
        </w:rPr>
        <w:t xml:space="preserve"> as P</w:t>
      </w:r>
      <w:r w:rsidR="00F36CF2">
        <w:rPr>
          <w:rFonts w:ascii="Calibri" w:eastAsia="Times New Roman" w:hAnsi="Calibri" w:cs="Calibri"/>
        </w:rPr>
        <w:t xml:space="preserve">rogram </w:t>
      </w:r>
      <w:r w:rsidR="00C037C5">
        <w:rPr>
          <w:rFonts w:ascii="Calibri" w:eastAsia="Times New Roman" w:hAnsi="Calibri" w:cs="Calibri"/>
        </w:rPr>
        <w:t>I</w:t>
      </w:r>
      <w:r w:rsidR="00F36CF2">
        <w:rPr>
          <w:rFonts w:ascii="Calibri" w:eastAsia="Times New Roman" w:hAnsi="Calibri" w:cs="Calibri"/>
        </w:rPr>
        <w:t xml:space="preserve">ncome </w:t>
      </w:r>
      <w:r w:rsidR="00C037C5">
        <w:rPr>
          <w:rFonts w:ascii="Calibri" w:eastAsia="Times New Roman" w:hAnsi="Calibri" w:cs="Calibri"/>
        </w:rPr>
        <w:t>E</w:t>
      </w:r>
      <w:r w:rsidR="00F36CF2">
        <w:rPr>
          <w:rFonts w:ascii="Calibri" w:eastAsia="Times New Roman" w:hAnsi="Calibri" w:cs="Calibri"/>
        </w:rPr>
        <w:t>arned</w:t>
      </w:r>
      <w:r w:rsidR="00C037C5">
        <w:rPr>
          <w:rFonts w:ascii="Calibri" w:eastAsia="Times New Roman" w:hAnsi="Calibri" w:cs="Calibri"/>
        </w:rPr>
        <w:t xml:space="preserve">.  Once the Program Income Earned is expended it would be reported under the Title III Part D fiscal reports </w:t>
      </w:r>
      <w:r w:rsidR="00F36CF2">
        <w:rPr>
          <w:rFonts w:ascii="Calibri" w:eastAsia="Times New Roman" w:hAnsi="Calibri" w:cs="Calibri"/>
        </w:rPr>
        <w:t xml:space="preserve">as </w:t>
      </w:r>
      <w:r w:rsidR="00C037C5">
        <w:rPr>
          <w:rFonts w:ascii="Calibri" w:eastAsia="Times New Roman" w:hAnsi="Calibri" w:cs="Calibri"/>
        </w:rPr>
        <w:t>P</w:t>
      </w:r>
      <w:r w:rsidR="00F36CF2">
        <w:rPr>
          <w:rFonts w:ascii="Calibri" w:eastAsia="Times New Roman" w:hAnsi="Calibri" w:cs="Calibri"/>
        </w:rPr>
        <w:t xml:space="preserve">rogram </w:t>
      </w:r>
      <w:r w:rsidR="00C037C5">
        <w:rPr>
          <w:rFonts w:ascii="Calibri" w:eastAsia="Times New Roman" w:hAnsi="Calibri" w:cs="Calibri"/>
        </w:rPr>
        <w:t>Income E</w:t>
      </w:r>
      <w:r w:rsidR="00F36CF2">
        <w:rPr>
          <w:rFonts w:ascii="Calibri" w:eastAsia="Times New Roman" w:hAnsi="Calibri" w:cs="Calibri"/>
        </w:rPr>
        <w:t xml:space="preserve">xpended in </w:t>
      </w:r>
      <w:r w:rsidR="00DD4570">
        <w:rPr>
          <w:rFonts w:ascii="Calibri" w:eastAsia="Times New Roman" w:hAnsi="Calibri" w:cs="Calibri"/>
        </w:rPr>
        <w:t>a</w:t>
      </w:r>
      <w:r w:rsidR="00C037C5">
        <w:rPr>
          <w:rFonts w:ascii="Calibri" w:eastAsia="Times New Roman" w:hAnsi="Calibri" w:cs="Calibri"/>
        </w:rPr>
        <w:t>ccordance with the Addition A</w:t>
      </w:r>
      <w:r w:rsidR="00F36CF2">
        <w:rPr>
          <w:rFonts w:ascii="Calibri" w:eastAsia="Times New Roman" w:hAnsi="Calibri" w:cs="Calibri"/>
        </w:rPr>
        <w:t>lternative</w:t>
      </w:r>
      <w:r w:rsidR="00180AAC">
        <w:rPr>
          <w:rFonts w:ascii="Calibri" w:eastAsia="Times New Roman" w:hAnsi="Calibri" w:cs="Calibri"/>
        </w:rPr>
        <w:t xml:space="preserve"> as outlined at 45 CFR 75.307 (e)(2).</w:t>
      </w:r>
    </w:p>
    <w:p w14:paraId="1A323905" w14:textId="77777777" w:rsidR="00926607" w:rsidRDefault="00926607" w:rsidP="004A4EEB">
      <w:pPr>
        <w:spacing w:after="0" w:line="240" w:lineRule="auto"/>
        <w:ind w:left="720"/>
        <w:rPr>
          <w:rFonts w:ascii="Calibri" w:eastAsia="Times New Roman" w:hAnsi="Calibri" w:cs="Calibri"/>
        </w:rPr>
      </w:pPr>
    </w:p>
    <w:p w14:paraId="3A59DF91" w14:textId="6F2C603A" w:rsidR="00DD4570" w:rsidRPr="00E66226" w:rsidRDefault="00F62A31" w:rsidP="00E66226">
      <w:pPr>
        <w:pStyle w:val="ListParagraph"/>
        <w:numPr>
          <w:ilvl w:val="0"/>
          <w:numId w:val="0"/>
        </w:numPr>
        <w:ind w:left="720"/>
        <w:rPr>
          <w:rFonts w:cs="Calibri"/>
        </w:rPr>
      </w:pPr>
      <w:r w:rsidRPr="00E66226">
        <w:rPr>
          <w:rFonts w:ascii="Calibri" w:eastAsia="Times New Roman" w:hAnsi="Calibri" w:cs="Calibri"/>
        </w:rPr>
        <w:t xml:space="preserve">Usually, </w:t>
      </w:r>
      <w:r w:rsidR="00926607" w:rsidRPr="00E66226">
        <w:rPr>
          <w:rFonts w:ascii="Calibri" w:eastAsia="Times New Roman" w:hAnsi="Calibri" w:cs="Calibri"/>
        </w:rPr>
        <w:t xml:space="preserve">Program Income </w:t>
      </w:r>
      <w:r w:rsidR="009D7509" w:rsidRPr="00E66226">
        <w:rPr>
          <w:rFonts w:ascii="Calibri" w:eastAsia="Times New Roman" w:hAnsi="Calibri" w:cs="Calibri"/>
        </w:rPr>
        <w:t>must</w:t>
      </w:r>
      <w:r w:rsidR="00926607" w:rsidRPr="00E66226">
        <w:rPr>
          <w:rFonts w:ascii="Calibri" w:eastAsia="Times New Roman" w:hAnsi="Calibri" w:cs="Calibri"/>
        </w:rPr>
        <w:t xml:space="preserve"> be used to expand the service for which it was collected</w:t>
      </w:r>
      <w:r w:rsidR="00DD4570" w:rsidRPr="00E66226">
        <w:rPr>
          <w:rFonts w:ascii="Calibri" w:eastAsia="Times New Roman" w:hAnsi="Calibri" w:cs="Calibri"/>
        </w:rPr>
        <w:t>; for example,</w:t>
      </w:r>
      <w:r w:rsidR="00DD4570" w:rsidRPr="009D7509">
        <w:rPr>
          <w:rFonts w:ascii="Calibri" w:eastAsia="Times New Roman" w:hAnsi="Calibri" w:cs="Calibri"/>
        </w:rPr>
        <w:t xml:space="preserve"> </w:t>
      </w:r>
      <w:r w:rsidR="00926607" w:rsidRPr="009D7509">
        <w:rPr>
          <w:rFonts w:ascii="Calibri" w:eastAsia="Times New Roman" w:hAnsi="Calibri" w:cs="Calibri"/>
        </w:rPr>
        <w:t>the Program Income generated from home-delivered meals from any funding source is to be used to expand the home-delivered meal service.</w:t>
      </w:r>
      <w:r w:rsidRPr="009D7509">
        <w:rPr>
          <w:rFonts w:ascii="Calibri" w:eastAsia="Times New Roman" w:hAnsi="Calibri" w:cs="Calibri"/>
        </w:rPr>
        <w:t xml:space="preserve">  However, </w:t>
      </w:r>
      <w:r w:rsidR="00DD4570" w:rsidRPr="009D7509">
        <w:rPr>
          <w:rFonts w:ascii="Calibri" w:eastAsia="Times New Roman" w:hAnsi="Calibri" w:cs="Calibri"/>
        </w:rPr>
        <w:t>as ACL stated in previous MDD fiscal guidance, P</w:t>
      </w:r>
      <w:r w:rsidR="00DD4570" w:rsidRPr="009D7509">
        <w:rPr>
          <w:rFonts w:cs="Calibri"/>
        </w:rPr>
        <w:t>rogram Income collected can be “bucketed” for use on any program during the MDD time period.</w:t>
      </w:r>
      <w:r w:rsidR="009D7509" w:rsidRPr="00E66226">
        <w:rPr>
          <w:rFonts w:cs="Calibri"/>
        </w:rPr>
        <w:t xml:space="preserve">  See </w:t>
      </w:r>
      <w:hyperlink r:id="rId11" w:history="1">
        <w:r w:rsidR="009D7509" w:rsidRPr="009D7509">
          <w:rPr>
            <w:rStyle w:val="Hyperlink"/>
            <w:rFonts w:cs="Calibri"/>
          </w:rPr>
          <w:t>Fiscal FAQ: Major Disaster Declaration (Word)</w:t>
        </w:r>
      </w:hyperlink>
      <w:r w:rsidR="009D7509" w:rsidRPr="00E66226">
        <w:rPr>
          <w:rFonts w:cs="Calibri"/>
        </w:rPr>
        <w:t xml:space="preserve"> for further information.</w:t>
      </w:r>
    </w:p>
    <w:p w14:paraId="23E9D2FE" w14:textId="77777777" w:rsidR="004E0E33" w:rsidRPr="004E0E33" w:rsidRDefault="004E0E33" w:rsidP="004E0E33">
      <w:pPr>
        <w:spacing w:after="0" w:line="240" w:lineRule="auto"/>
      </w:pPr>
    </w:p>
    <w:p w14:paraId="45FA2EFC" w14:textId="1C426E1B" w:rsidR="001C41A9" w:rsidRDefault="008C057F" w:rsidP="00DD18A0">
      <w:pPr>
        <w:spacing w:after="0" w:line="240" w:lineRule="auto"/>
        <w:ind w:left="720"/>
        <w:rPr>
          <w:rFonts w:ascii="Calibri" w:hAnsi="Calibri" w:cs="Calibri"/>
        </w:rPr>
      </w:pPr>
      <w:r>
        <w:rPr>
          <w:rFonts w:ascii="Calibri" w:hAnsi="Calibri" w:cs="Calibri"/>
        </w:rPr>
        <w:t>If SUAs</w:t>
      </w:r>
      <w:r w:rsidR="00240526" w:rsidRPr="004E0E33">
        <w:rPr>
          <w:rFonts w:ascii="Calibri" w:hAnsi="Calibri" w:cs="Calibri"/>
        </w:rPr>
        <w:t xml:space="preserve"> </w:t>
      </w:r>
      <w:r w:rsidR="004134EE">
        <w:rPr>
          <w:rFonts w:ascii="Calibri" w:hAnsi="Calibri" w:cs="Calibri"/>
        </w:rPr>
        <w:t>have further questions</w:t>
      </w:r>
      <w:r>
        <w:rPr>
          <w:rFonts w:ascii="Calibri" w:hAnsi="Calibri" w:cs="Calibri"/>
        </w:rPr>
        <w:t xml:space="preserve">, they may contact their Regional Administrator </w:t>
      </w:r>
      <w:r w:rsidR="004A4EEB">
        <w:rPr>
          <w:rFonts w:ascii="Calibri" w:hAnsi="Calibri" w:cs="Calibri"/>
        </w:rPr>
        <w:t xml:space="preserve">and/or Fiscal Specialist </w:t>
      </w:r>
      <w:r>
        <w:rPr>
          <w:rFonts w:ascii="Calibri" w:hAnsi="Calibri" w:cs="Calibri"/>
        </w:rPr>
        <w:t>for assistance.</w:t>
      </w:r>
    </w:p>
    <w:p w14:paraId="3B86C65E" w14:textId="77777777" w:rsidR="009D7509" w:rsidRPr="00DD18A0" w:rsidRDefault="009D7509" w:rsidP="00DD18A0">
      <w:pPr>
        <w:spacing w:after="0" w:line="240" w:lineRule="auto"/>
        <w:ind w:left="720"/>
        <w:rPr>
          <w:rFonts w:ascii="Calibri" w:hAnsi="Calibri" w:cs="Calibri"/>
        </w:rPr>
      </w:pPr>
    </w:p>
    <w:p w14:paraId="1B988F76" w14:textId="77777777" w:rsidR="001C41A9" w:rsidRDefault="001C41A9" w:rsidP="004E0E33">
      <w:pPr>
        <w:pStyle w:val="ListParagraph"/>
        <w:numPr>
          <w:ilvl w:val="0"/>
          <w:numId w:val="0"/>
        </w:numPr>
        <w:ind w:left="720"/>
      </w:pPr>
    </w:p>
    <w:p w14:paraId="79159496" w14:textId="4F819A22" w:rsidR="001C41A9" w:rsidRPr="00DD18A0" w:rsidRDefault="001C41A9" w:rsidP="000325DC">
      <w:pPr>
        <w:pStyle w:val="ListParagraph"/>
        <w:numPr>
          <w:ilvl w:val="0"/>
          <w:numId w:val="8"/>
        </w:numPr>
        <w:rPr>
          <w:rFonts w:cstheme="minorHAnsi"/>
        </w:rPr>
      </w:pPr>
      <w:r w:rsidRPr="00DD18A0">
        <w:rPr>
          <w:rFonts w:cstheme="minorHAnsi"/>
        </w:rPr>
        <w:lastRenderedPageBreak/>
        <w:t xml:space="preserve">Is </w:t>
      </w:r>
      <w:r w:rsidR="00DD18A0">
        <w:rPr>
          <w:rFonts w:cstheme="minorHAnsi"/>
        </w:rPr>
        <w:t>nutrition risk</w:t>
      </w:r>
      <w:r w:rsidRPr="00DD18A0">
        <w:rPr>
          <w:rFonts w:cstheme="minorHAnsi"/>
        </w:rPr>
        <w:t xml:space="preserve"> and other demographic information </w:t>
      </w:r>
      <w:r w:rsidR="00DD18A0">
        <w:rPr>
          <w:rFonts w:cstheme="minorHAnsi"/>
        </w:rPr>
        <w:t xml:space="preserve">still </w:t>
      </w:r>
      <w:r w:rsidRPr="00DD18A0">
        <w:rPr>
          <w:rFonts w:cstheme="minorHAnsi"/>
        </w:rPr>
        <w:t xml:space="preserve">required </w:t>
      </w:r>
      <w:r w:rsidR="00DD18A0">
        <w:rPr>
          <w:rFonts w:cstheme="minorHAnsi"/>
        </w:rPr>
        <w:t>to be reported in</w:t>
      </w:r>
      <w:r w:rsidRPr="00DD18A0">
        <w:rPr>
          <w:rFonts w:cstheme="minorHAnsi"/>
        </w:rPr>
        <w:t xml:space="preserve"> t</w:t>
      </w:r>
      <w:r w:rsidR="000E7E21">
        <w:rPr>
          <w:rFonts w:cstheme="minorHAnsi"/>
        </w:rPr>
        <w:t>he SPR for those receiving home-</w:t>
      </w:r>
      <w:r w:rsidRPr="00DD18A0">
        <w:rPr>
          <w:rFonts w:cstheme="minorHAnsi"/>
        </w:rPr>
        <w:t>delivered meals</w:t>
      </w:r>
      <w:r w:rsidR="000E7E21">
        <w:rPr>
          <w:rFonts w:cstheme="minorHAnsi"/>
        </w:rPr>
        <w:t>, homemaker,</w:t>
      </w:r>
      <w:r w:rsidRPr="00DD18A0">
        <w:rPr>
          <w:rFonts w:cstheme="minorHAnsi"/>
        </w:rPr>
        <w:t xml:space="preserve"> </w:t>
      </w:r>
      <w:r w:rsidR="00DD18A0">
        <w:rPr>
          <w:rFonts w:cstheme="minorHAnsi"/>
        </w:rPr>
        <w:t xml:space="preserve">and other services while </w:t>
      </w:r>
      <w:r w:rsidRPr="00DD18A0">
        <w:rPr>
          <w:rFonts w:cstheme="minorHAnsi"/>
        </w:rPr>
        <w:t xml:space="preserve">we are operating under </w:t>
      </w:r>
      <w:r w:rsidR="00DD18A0">
        <w:rPr>
          <w:rFonts w:cstheme="minorHAnsi"/>
        </w:rPr>
        <w:t xml:space="preserve">a </w:t>
      </w:r>
      <w:r w:rsidRPr="00DD18A0">
        <w:rPr>
          <w:rFonts w:cstheme="minorHAnsi"/>
        </w:rPr>
        <w:t>MDD and stat</w:t>
      </w:r>
      <w:r w:rsidR="00DD18A0">
        <w:rPr>
          <w:rFonts w:cstheme="minorHAnsi"/>
        </w:rPr>
        <w:t>e restrictions?</w:t>
      </w:r>
    </w:p>
    <w:p w14:paraId="1B259D11" w14:textId="77777777" w:rsidR="000325DC" w:rsidRDefault="000325DC" w:rsidP="000325DC">
      <w:pPr>
        <w:spacing w:after="0" w:line="240" w:lineRule="auto"/>
        <w:ind w:left="720"/>
        <w:rPr>
          <w:rFonts w:ascii="Calibri" w:hAnsi="Calibri" w:cs="Calibri"/>
        </w:rPr>
      </w:pPr>
    </w:p>
    <w:p w14:paraId="42F9729E" w14:textId="451F5054" w:rsidR="000325DC" w:rsidRDefault="000325DC" w:rsidP="000325DC">
      <w:pPr>
        <w:spacing w:after="0" w:line="240" w:lineRule="auto"/>
        <w:ind w:left="720"/>
        <w:rPr>
          <w:rFonts w:ascii="Calibri" w:hAnsi="Calibri" w:cs="Calibri"/>
        </w:rPr>
      </w:pPr>
      <w:r>
        <w:rPr>
          <w:rFonts w:ascii="Calibri" w:hAnsi="Calibri" w:cs="Calibri"/>
        </w:rPr>
        <w:t xml:space="preserve">Reporting of nutrition risk and other demographic information is still required </w:t>
      </w:r>
      <w:r w:rsidR="00A01AC0">
        <w:rPr>
          <w:rFonts w:ascii="Calibri" w:hAnsi="Calibri" w:cs="Calibri"/>
        </w:rPr>
        <w:t>for Older Americans Act, Families First Coronavirus Response Act and CARES Act funding,</w:t>
      </w:r>
      <w:r w:rsidR="00C9672A">
        <w:rPr>
          <w:rFonts w:ascii="Calibri" w:hAnsi="Calibri" w:cs="Calibri"/>
        </w:rPr>
        <w:t xml:space="preserve"> including</w:t>
      </w:r>
      <w:r w:rsidR="00A01AC0">
        <w:rPr>
          <w:rFonts w:ascii="Calibri" w:hAnsi="Calibri" w:cs="Calibri"/>
        </w:rPr>
        <w:t xml:space="preserve"> </w:t>
      </w:r>
      <w:r>
        <w:rPr>
          <w:rFonts w:ascii="Calibri" w:hAnsi="Calibri" w:cs="Calibri"/>
        </w:rPr>
        <w:t xml:space="preserve">while operating under a MDD or other state restrictions.  Nutrition risk and other demographic data can be collected over the phone, on-line, or otherwise.   </w:t>
      </w:r>
    </w:p>
    <w:p w14:paraId="00E85F30" w14:textId="77777777" w:rsidR="00C037C5" w:rsidRDefault="00C037C5" w:rsidP="000325DC">
      <w:pPr>
        <w:spacing w:after="0" w:line="240" w:lineRule="auto"/>
        <w:ind w:left="720"/>
        <w:rPr>
          <w:rFonts w:ascii="Calibri" w:hAnsi="Calibri" w:cs="Calibri"/>
        </w:rPr>
      </w:pPr>
    </w:p>
    <w:p w14:paraId="7AD0CBD7" w14:textId="14747D7F" w:rsidR="00611E75" w:rsidRDefault="00926607" w:rsidP="00B7178F">
      <w:pPr>
        <w:ind w:left="720"/>
      </w:pPr>
      <w:r>
        <w:rPr>
          <w:rFonts w:ascii="Calibri" w:hAnsi="Calibri" w:cs="Calibri"/>
        </w:rPr>
        <w:t xml:space="preserve">The demographic </w:t>
      </w:r>
      <w:r w:rsidR="0035796D">
        <w:rPr>
          <w:rFonts w:ascii="Calibri" w:hAnsi="Calibri" w:cs="Calibri"/>
        </w:rPr>
        <w:t>characteristics that are</w:t>
      </w:r>
      <w:r>
        <w:rPr>
          <w:rFonts w:ascii="Calibri" w:hAnsi="Calibri" w:cs="Calibri"/>
        </w:rPr>
        <w:t xml:space="preserve"> required by service </w:t>
      </w:r>
      <w:r w:rsidR="00CD4168">
        <w:rPr>
          <w:rFonts w:ascii="Calibri" w:hAnsi="Calibri" w:cs="Calibri"/>
        </w:rPr>
        <w:t>are</w:t>
      </w:r>
      <w:r>
        <w:rPr>
          <w:rFonts w:ascii="Calibri" w:hAnsi="Calibri" w:cs="Calibri"/>
        </w:rPr>
        <w:t xml:space="preserve"> listed in the </w:t>
      </w:r>
      <w:r w:rsidR="007B4487">
        <w:rPr>
          <w:rFonts w:ascii="Calibri" w:hAnsi="Calibri" w:cs="Calibri"/>
        </w:rPr>
        <w:t xml:space="preserve">SPR reporting requirements at </w:t>
      </w:r>
      <w:hyperlink r:id="rId12" w:history="1">
        <w:r w:rsidR="00611E75" w:rsidRPr="00C356A8">
          <w:rPr>
            <w:rStyle w:val="Hyperlink"/>
            <w:rFonts w:cs="Calibri"/>
          </w:rPr>
          <w:t>https://acl.gov/sites/default/files/programs/2020-01/State_Program_Report_0985-0008_Expires12312022.pdf</w:t>
        </w:r>
      </w:hyperlink>
      <w:r w:rsidR="007B4487">
        <w:t>.</w:t>
      </w:r>
    </w:p>
    <w:p w14:paraId="7E51FEA7" w14:textId="5F44DC20" w:rsidR="00DD18A0" w:rsidRPr="000E7E21" w:rsidRDefault="007B4487" w:rsidP="00611E75">
      <w:pPr>
        <w:spacing w:after="0" w:line="240" w:lineRule="auto"/>
        <w:ind w:left="720"/>
        <w:rPr>
          <w:rFonts w:ascii="Calibri" w:hAnsi="Calibri" w:cs="Calibri"/>
        </w:rPr>
      </w:pPr>
      <w:r>
        <w:rPr>
          <w:rFonts w:ascii="Calibri" w:hAnsi="Calibri" w:cs="Calibri"/>
        </w:rPr>
        <w:t xml:space="preserve">For example, </w:t>
      </w:r>
      <w:r w:rsidR="004134EE">
        <w:rPr>
          <w:rFonts w:ascii="Calibri" w:hAnsi="Calibri" w:cs="Calibri"/>
        </w:rPr>
        <w:t>as OAA programs require</w:t>
      </w:r>
      <w:r w:rsidR="00C9672A">
        <w:rPr>
          <w:rFonts w:ascii="Calibri" w:hAnsi="Calibri" w:cs="Calibri"/>
        </w:rPr>
        <w:t xml:space="preserve"> certain information to establish eligibility for programs (such as age and/or caregiver status), this information </w:t>
      </w:r>
      <w:r w:rsidR="004134EE">
        <w:rPr>
          <w:rFonts w:ascii="Calibri" w:hAnsi="Calibri" w:cs="Calibri"/>
        </w:rPr>
        <w:t>is routinely</w:t>
      </w:r>
      <w:r w:rsidR="00C9672A">
        <w:rPr>
          <w:rFonts w:ascii="Calibri" w:hAnsi="Calibri" w:cs="Calibri"/>
        </w:rPr>
        <w:t xml:space="preserve"> collected and should continue to be reported.  </w:t>
      </w:r>
      <w:r w:rsidR="000325DC">
        <w:rPr>
          <w:rFonts w:ascii="Calibri" w:hAnsi="Calibri" w:cs="Calibri"/>
        </w:rPr>
        <w:t xml:space="preserve">However, </w:t>
      </w:r>
      <w:r w:rsidR="00DD18A0">
        <w:rPr>
          <w:rFonts w:ascii="Calibri" w:hAnsi="Calibri" w:cs="Calibri"/>
        </w:rPr>
        <w:t xml:space="preserve">ACL understands that due to increased demand and volume under emergency response conditions, there may be higher levels of missing client demographic data. ACL encourages States and aging services providers to collect and report demographic data to the greatest extent practicable. ACL also expects that any significant missing </w:t>
      </w:r>
      <w:r w:rsidR="00DD18A0" w:rsidRPr="000E7E21">
        <w:rPr>
          <w:rFonts w:ascii="Calibri" w:hAnsi="Calibri" w:cs="Calibri"/>
        </w:rPr>
        <w:t>data and variances be explained, including those variances related to COVID response.</w:t>
      </w:r>
    </w:p>
    <w:p w14:paraId="2AA339FD" w14:textId="77777777" w:rsidR="00DD18A0" w:rsidRPr="000E7E21" w:rsidRDefault="00DD18A0" w:rsidP="000325DC">
      <w:pPr>
        <w:spacing w:after="0" w:line="240" w:lineRule="auto"/>
        <w:rPr>
          <w:rFonts w:ascii="Calibri" w:hAnsi="Calibri" w:cs="Calibri"/>
        </w:rPr>
      </w:pPr>
    </w:p>
    <w:p w14:paraId="0A4A9DD3" w14:textId="186CB680" w:rsidR="001C41A9" w:rsidRPr="000E7E21" w:rsidRDefault="000325DC" w:rsidP="00BF242F">
      <w:pPr>
        <w:pStyle w:val="ListParagraph"/>
        <w:numPr>
          <w:ilvl w:val="0"/>
          <w:numId w:val="8"/>
        </w:numPr>
        <w:rPr>
          <w:rFonts w:cstheme="minorHAnsi"/>
        </w:rPr>
      </w:pPr>
      <w:r w:rsidRPr="000E7E21">
        <w:rPr>
          <w:rFonts w:cstheme="minorHAnsi"/>
        </w:rPr>
        <w:t>Is the SUA</w:t>
      </w:r>
      <w:r w:rsidR="001C41A9" w:rsidRPr="000E7E21">
        <w:rPr>
          <w:rFonts w:cstheme="minorHAnsi"/>
        </w:rPr>
        <w:t xml:space="preserve"> required to use the terms, definitions, units of service, etc. described in the </w:t>
      </w:r>
      <w:r w:rsidRPr="000E7E21">
        <w:rPr>
          <w:rFonts w:cstheme="minorHAnsi"/>
        </w:rPr>
        <w:t xml:space="preserve">SPR reporting </w:t>
      </w:r>
      <w:r w:rsidR="001C41A9" w:rsidRPr="000E7E21">
        <w:rPr>
          <w:rFonts w:cstheme="minorHAnsi"/>
        </w:rPr>
        <w:t xml:space="preserve">guidance if a similar service is already implemented </w:t>
      </w:r>
      <w:r w:rsidRPr="000E7E21">
        <w:rPr>
          <w:rFonts w:cstheme="minorHAnsi"/>
        </w:rPr>
        <w:t>in our state</w:t>
      </w:r>
      <w:r w:rsidR="001C41A9" w:rsidRPr="000E7E21">
        <w:rPr>
          <w:rFonts w:cstheme="minorHAnsi"/>
        </w:rPr>
        <w:t xml:space="preserve">?  </w:t>
      </w:r>
    </w:p>
    <w:p w14:paraId="35DAD1C7" w14:textId="77777777" w:rsidR="000325DC" w:rsidRPr="000E7E21" w:rsidRDefault="000325DC" w:rsidP="000325DC">
      <w:pPr>
        <w:spacing w:after="0" w:line="240" w:lineRule="auto"/>
        <w:rPr>
          <w:rFonts w:cstheme="minorHAnsi"/>
        </w:rPr>
      </w:pPr>
    </w:p>
    <w:p w14:paraId="3D5B2F58" w14:textId="77777777" w:rsidR="00A02C61" w:rsidRPr="000E7E21" w:rsidRDefault="000325DC" w:rsidP="00A02C61">
      <w:pPr>
        <w:spacing w:after="0" w:line="240" w:lineRule="auto"/>
        <w:ind w:left="720"/>
        <w:rPr>
          <w:rFonts w:cstheme="minorHAnsi"/>
        </w:rPr>
      </w:pPr>
      <w:r w:rsidRPr="000E7E21">
        <w:rPr>
          <w:rFonts w:cstheme="minorHAnsi"/>
        </w:rPr>
        <w:t xml:space="preserve">SUAs can continue to use the terms, definitions, and units of service </w:t>
      </w:r>
      <w:r w:rsidR="00A02C61" w:rsidRPr="000E7E21">
        <w:rPr>
          <w:rFonts w:cstheme="minorHAnsi"/>
        </w:rPr>
        <w:t>the SUA has</w:t>
      </w:r>
      <w:r w:rsidRPr="000E7E21">
        <w:rPr>
          <w:rFonts w:cstheme="minorHAnsi"/>
        </w:rPr>
        <w:t xml:space="preserve"> established where they </w:t>
      </w:r>
      <w:r w:rsidR="002A3FF9" w:rsidRPr="000E7E21">
        <w:rPr>
          <w:rFonts w:cstheme="minorHAnsi"/>
        </w:rPr>
        <w:t xml:space="preserve">align with SPR reporting guidance.  </w:t>
      </w:r>
    </w:p>
    <w:p w14:paraId="2799D7DA" w14:textId="77777777" w:rsidR="00A02C61" w:rsidRPr="000E7E21" w:rsidRDefault="00A02C61" w:rsidP="00A02C61">
      <w:pPr>
        <w:spacing w:after="0" w:line="240" w:lineRule="auto"/>
        <w:ind w:left="720"/>
        <w:rPr>
          <w:rFonts w:cstheme="minorHAnsi"/>
        </w:rPr>
      </w:pPr>
    </w:p>
    <w:p w14:paraId="054BC3BC" w14:textId="07A1B374" w:rsidR="00A02C61" w:rsidRPr="00A564D7" w:rsidRDefault="002A3FF9" w:rsidP="00A02C61">
      <w:pPr>
        <w:spacing w:after="0" w:line="240" w:lineRule="auto"/>
        <w:ind w:left="720"/>
        <w:rPr>
          <w:rFonts w:cstheme="minorHAnsi"/>
        </w:rPr>
      </w:pPr>
      <w:r w:rsidRPr="000E7E21">
        <w:rPr>
          <w:rFonts w:cstheme="minorHAnsi"/>
        </w:rPr>
        <w:t>For example, if a SUA has a “</w:t>
      </w:r>
      <w:r w:rsidR="00A02C61" w:rsidRPr="000E7E21">
        <w:rPr>
          <w:rFonts w:cstheme="minorHAnsi"/>
        </w:rPr>
        <w:t>Health Support Items</w:t>
      </w:r>
      <w:r w:rsidRPr="000E7E21">
        <w:rPr>
          <w:rFonts w:cstheme="minorHAnsi"/>
        </w:rPr>
        <w:t xml:space="preserve">” term and definition that is used for incontinence </w:t>
      </w:r>
      <w:r w:rsidR="000E7E21" w:rsidRPr="000E7E21">
        <w:rPr>
          <w:rFonts w:cstheme="minorHAnsi"/>
        </w:rPr>
        <w:t xml:space="preserve">and other </w:t>
      </w:r>
      <w:r w:rsidR="00A02C61" w:rsidRPr="000E7E21">
        <w:rPr>
          <w:rFonts w:cstheme="minorHAnsi"/>
        </w:rPr>
        <w:t xml:space="preserve">consumable </w:t>
      </w:r>
      <w:r w:rsidRPr="000E7E21">
        <w:rPr>
          <w:rFonts w:cstheme="minorHAnsi"/>
        </w:rPr>
        <w:t>supplies</w:t>
      </w:r>
      <w:r w:rsidR="00A02C61" w:rsidRPr="000E7E21">
        <w:rPr>
          <w:rFonts w:cstheme="minorHAnsi"/>
        </w:rPr>
        <w:t xml:space="preserve">, there is no need for the SUA to change their use of the term “Health Support Items.”  Assuming the unit definition is consistent with or easily convertible to the ACL guidance when the SUA </w:t>
      </w:r>
      <w:r w:rsidR="000E7E21" w:rsidRPr="000E7E21">
        <w:rPr>
          <w:rFonts w:cstheme="minorHAnsi"/>
        </w:rPr>
        <w:t>submits their SPR</w:t>
      </w:r>
      <w:r w:rsidR="00A02C61" w:rsidRPr="000E7E21">
        <w:rPr>
          <w:rFonts w:cstheme="minorHAnsi"/>
        </w:rPr>
        <w:t xml:space="preserve">, the SUA should map this service and include it under Consumable Supplies (or make manual edits to that effect).  In so doing, SUAs can meet the ACL SPR Reporting Guidance, while allowing SUAs to </w:t>
      </w:r>
      <w:r w:rsidR="00A02C61" w:rsidRPr="00A564D7">
        <w:rPr>
          <w:rFonts w:cstheme="minorHAnsi"/>
        </w:rPr>
        <w:t>maintain existing service terms.</w:t>
      </w:r>
    </w:p>
    <w:p w14:paraId="129C781C" w14:textId="26E5F990" w:rsidR="001C41A9" w:rsidRPr="00A564D7" w:rsidRDefault="001C41A9" w:rsidP="000325DC">
      <w:pPr>
        <w:spacing w:after="0" w:line="240" w:lineRule="auto"/>
        <w:rPr>
          <w:rFonts w:cstheme="minorHAnsi"/>
        </w:rPr>
      </w:pPr>
    </w:p>
    <w:p w14:paraId="5995675B" w14:textId="23438EBB" w:rsidR="001C41A9" w:rsidRPr="00A564D7" w:rsidRDefault="000E7E21" w:rsidP="00A564D7">
      <w:pPr>
        <w:pStyle w:val="ListParagraph"/>
        <w:numPr>
          <w:ilvl w:val="0"/>
          <w:numId w:val="8"/>
        </w:numPr>
        <w:rPr>
          <w:rFonts w:cstheme="minorHAnsi"/>
        </w:rPr>
      </w:pPr>
      <w:r w:rsidRPr="00A564D7">
        <w:rPr>
          <w:rFonts w:cstheme="minorHAnsi"/>
        </w:rPr>
        <w:t>F</w:t>
      </w:r>
      <w:r w:rsidR="001C41A9" w:rsidRPr="00A564D7">
        <w:rPr>
          <w:rFonts w:cstheme="minorHAnsi"/>
        </w:rPr>
        <w:t xml:space="preserve">or </w:t>
      </w:r>
      <w:r w:rsidRPr="00A564D7">
        <w:rPr>
          <w:rFonts w:cstheme="minorHAnsi"/>
        </w:rPr>
        <w:t>the Title III-E National Family Caregiver Support Program</w:t>
      </w:r>
      <w:r w:rsidR="00A564D7" w:rsidRPr="00A564D7">
        <w:rPr>
          <w:rFonts w:cstheme="minorHAnsi"/>
        </w:rPr>
        <w:t xml:space="preserve"> (NFCSP)</w:t>
      </w:r>
      <w:r w:rsidR="001C41A9" w:rsidRPr="00A564D7">
        <w:rPr>
          <w:rFonts w:cstheme="minorHAnsi"/>
        </w:rPr>
        <w:t xml:space="preserve">, we currently </w:t>
      </w:r>
      <w:r w:rsidRPr="00A564D7">
        <w:rPr>
          <w:rFonts w:cstheme="minorHAnsi"/>
        </w:rPr>
        <w:t xml:space="preserve">include meals as part of </w:t>
      </w:r>
      <w:r w:rsidR="001C41A9" w:rsidRPr="00A564D7">
        <w:rPr>
          <w:rFonts w:cstheme="minorHAnsi"/>
        </w:rPr>
        <w:t xml:space="preserve">a Consumable Supplies subservice under Supplemental Services.  </w:t>
      </w:r>
      <w:r w:rsidR="00382C12">
        <w:rPr>
          <w:rFonts w:cstheme="minorHAnsi"/>
        </w:rPr>
        <w:t xml:space="preserve">Is that ok or should we </w:t>
      </w:r>
      <w:r w:rsidR="00A564D7" w:rsidRPr="00A564D7">
        <w:rPr>
          <w:rFonts w:cstheme="minorHAnsi"/>
        </w:rPr>
        <w:t xml:space="preserve">track and report meals provided under the NFCSP </w:t>
      </w:r>
      <w:r w:rsidR="001C41A9" w:rsidRPr="00A564D7">
        <w:rPr>
          <w:rFonts w:cstheme="minorHAnsi"/>
        </w:rPr>
        <w:t>separately?</w:t>
      </w:r>
    </w:p>
    <w:p w14:paraId="5BBC7542" w14:textId="6739CE04" w:rsidR="00A564D7" w:rsidRPr="00A564D7" w:rsidRDefault="00A564D7" w:rsidP="00A564D7">
      <w:pPr>
        <w:spacing w:after="0" w:line="240" w:lineRule="auto"/>
        <w:rPr>
          <w:rFonts w:cstheme="minorHAnsi"/>
        </w:rPr>
      </w:pPr>
    </w:p>
    <w:p w14:paraId="1AA05B29" w14:textId="432049B6" w:rsidR="00F62A31" w:rsidRDefault="00A564D7" w:rsidP="00C356A8">
      <w:pPr>
        <w:ind w:left="720"/>
      </w:pPr>
      <w:r w:rsidRPr="00A564D7">
        <w:t xml:space="preserve">ACL requests that SUAs </w:t>
      </w:r>
      <w:r w:rsidR="00082FD1">
        <w:t xml:space="preserve">separately </w:t>
      </w:r>
      <w:r w:rsidRPr="00A564D7">
        <w:t xml:space="preserve">track and report </w:t>
      </w:r>
      <w:r w:rsidR="00AE5056">
        <w:t>Home Delivered M</w:t>
      </w:r>
      <w:r w:rsidRPr="00A564D7">
        <w:t>eals</w:t>
      </w:r>
      <w:r w:rsidR="00AE5056">
        <w:t xml:space="preserve">, Consumable Supplies, </w:t>
      </w:r>
      <w:r w:rsidR="00AE5056" w:rsidRPr="00AE5056">
        <w:t>Assistive Technology/ Durable Equipment/ Emergency Response</w:t>
      </w:r>
      <w:r w:rsidR="00AE5056">
        <w:t xml:space="preserve">, and Homemaker-Delivery </w:t>
      </w:r>
      <w:r w:rsidRPr="00A564D7">
        <w:t xml:space="preserve">provided via NFCSP </w:t>
      </w:r>
      <w:r w:rsidR="00696D50">
        <w:t>Supplemental Services</w:t>
      </w:r>
      <w:r w:rsidR="00AE5056">
        <w:t xml:space="preserve"> under Section IV.A</w:t>
      </w:r>
      <w:r w:rsidRPr="00A564D7">
        <w:t>, in accordance with the guidance provided</w:t>
      </w:r>
      <w:r w:rsidR="00AE5056">
        <w:t xml:space="preserve"> at</w:t>
      </w:r>
      <w:r w:rsidR="00AE5056" w:rsidRPr="00AE5056">
        <w:t xml:space="preserve"> </w:t>
      </w:r>
      <w:hyperlink r:id="rId13" w:history="1">
        <w:r w:rsidR="00AE5056" w:rsidRPr="00AE5056">
          <w:rPr>
            <w:rStyle w:val="Hyperlink"/>
          </w:rPr>
          <w:t>Title III State Program Report: COVID-19 Response Reporting Guidance - May 11, 2020 (Word)</w:t>
        </w:r>
      </w:hyperlink>
      <w:r w:rsidRPr="00A564D7">
        <w:t>.  </w:t>
      </w:r>
      <w:r>
        <w:t xml:space="preserve">This will allow ACL to </w:t>
      </w:r>
      <w:r w:rsidR="00382C12">
        <w:t>more consistently and clearly tell the story of the services provided by the aging network, including with supplemental funding, in response to COVID-19.</w:t>
      </w:r>
    </w:p>
    <w:p w14:paraId="312F5925" w14:textId="60CC714D" w:rsidR="00C86467" w:rsidRDefault="00C86467" w:rsidP="00C356A8">
      <w:pPr>
        <w:ind w:left="720"/>
      </w:pPr>
    </w:p>
    <w:p w14:paraId="1E23844C" w14:textId="77777777" w:rsidR="00C86467" w:rsidRDefault="00C86467" w:rsidP="00C356A8">
      <w:pPr>
        <w:ind w:left="720"/>
      </w:pPr>
    </w:p>
    <w:p w14:paraId="76166E34" w14:textId="4481174E" w:rsidR="00F62A31" w:rsidRDefault="00F62A31" w:rsidP="00C356A8">
      <w:pPr>
        <w:pStyle w:val="ListParagraph"/>
        <w:numPr>
          <w:ilvl w:val="0"/>
          <w:numId w:val="8"/>
        </w:numPr>
      </w:pPr>
      <w:r w:rsidRPr="00DD4570">
        <w:t>Will the SPR re-design</w:t>
      </w:r>
      <w:r>
        <w:t xml:space="preserve"> / OAAPS</w:t>
      </w:r>
      <w:r w:rsidRPr="00DD4570">
        <w:t xml:space="preserve"> implementation for FY2022 be pushed back?</w:t>
      </w:r>
      <w:r w:rsidRPr="00C356A8">
        <w:t xml:space="preserve"> </w:t>
      </w:r>
      <w:r w:rsidRPr="00DD4570">
        <w:t xml:space="preserve"> We are quickly approaching FY2021</w:t>
      </w:r>
      <w:r w:rsidRPr="00C356A8">
        <w:t>,</w:t>
      </w:r>
      <w:r w:rsidRPr="00DD4570">
        <w:t xml:space="preserve"> and I imagine during FY2021 everyone will need to begin “gearing up” for the new SPR</w:t>
      </w:r>
      <w:r>
        <w:t xml:space="preserve"> / OAAPS</w:t>
      </w:r>
      <w:r w:rsidRPr="00DD4570">
        <w:t xml:space="preserve">.  </w:t>
      </w:r>
    </w:p>
    <w:p w14:paraId="2767DF2F" w14:textId="77777777" w:rsidR="00C86467" w:rsidRPr="00C356A8" w:rsidRDefault="00C86467" w:rsidP="00C356A8">
      <w:pPr>
        <w:pStyle w:val="ListParagraph"/>
        <w:numPr>
          <w:ilvl w:val="0"/>
          <w:numId w:val="0"/>
        </w:numPr>
        <w:ind w:left="360"/>
      </w:pPr>
    </w:p>
    <w:p w14:paraId="338C3A2C" w14:textId="55823E38" w:rsidR="00F62A31" w:rsidRDefault="00F62A31" w:rsidP="00C356A8">
      <w:pPr>
        <w:ind w:left="720"/>
      </w:pPr>
      <w:r w:rsidRPr="00DD4570">
        <w:t xml:space="preserve">Yes, the new SPR </w:t>
      </w:r>
      <w:r>
        <w:t xml:space="preserve">/ OAAPS </w:t>
      </w:r>
      <w:r w:rsidRPr="00DD4570">
        <w:t>will be used to r</w:t>
      </w:r>
      <w:r w:rsidRPr="00C356A8">
        <w:t>eport FY 2022 data which covers</w:t>
      </w:r>
      <w:r w:rsidRPr="00DD4570">
        <w:t xml:space="preserve"> the period October 1, 2021-Septe</w:t>
      </w:r>
      <w:r w:rsidRPr="00180AAC">
        <w:t>mber 30, 2022.  If any</w:t>
      </w:r>
      <w:r w:rsidRPr="00C356A8">
        <w:t xml:space="preserve">thing changes in that regard we </w:t>
      </w:r>
      <w:r w:rsidRPr="00DD4570">
        <w:t>will alert everyone.</w:t>
      </w:r>
    </w:p>
    <w:p w14:paraId="4B75944A" w14:textId="14F59FA1" w:rsidR="00AE5056" w:rsidRPr="00C356A8" w:rsidRDefault="00E8524B" w:rsidP="00C356A8">
      <w:pPr>
        <w:tabs>
          <w:tab w:val="left" w:pos="720"/>
        </w:tabs>
        <w:ind w:left="720"/>
      </w:pPr>
      <w:r w:rsidRPr="00C356A8">
        <w:t xml:space="preserve">ACL has scheduled seven upcoming training webinars to assist Title III state grantees with becoming knowledgeable of the new SPR and OAAPS.  These webinars are scheduled between June 2, 2020 and October 7, 2020.   For those of you who are not able to attend, we will also provide self-directed training materials on the </w:t>
      </w:r>
      <w:hyperlink r:id="rId14" w:history="1">
        <w:r w:rsidRPr="00C356A8">
          <w:rPr>
            <w:rStyle w:val="Hyperlink"/>
          </w:rPr>
          <w:t>OAAPS</w:t>
        </w:r>
      </w:hyperlink>
      <w:r>
        <w:rPr>
          <w:color w:val="7030A0"/>
        </w:rPr>
        <w:t xml:space="preserve"> </w:t>
      </w:r>
      <w:r w:rsidRPr="00C356A8">
        <w:t xml:space="preserve">website to ensure that you are informed.  We encourage you to review and become familiar with Title III technical documents on the OAAPS website as well.   Please check the OAAPS website for the Title III training webinar schedule.  In addition, please feel free to contact us at: </w:t>
      </w:r>
      <w:hyperlink r:id="rId15" w:history="1">
        <w:r w:rsidRPr="00C356A8">
          <w:rPr>
            <w:rStyle w:val="Hyperlink"/>
          </w:rPr>
          <w:t>ACL-OAAPS-PILOT@icf.com</w:t>
        </w:r>
      </w:hyperlink>
      <w:r>
        <w:rPr>
          <w:color w:val="7030A0"/>
        </w:rPr>
        <w:t xml:space="preserve"> </w:t>
      </w:r>
      <w:r w:rsidRPr="00C356A8">
        <w:t xml:space="preserve">if you have any questions.  </w:t>
      </w:r>
    </w:p>
    <w:p w14:paraId="0099C370" w14:textId="28F60BE1" w:rsidR="00E8524B" w:rsidRDefault="00AE5056" w:rsidP="00C356A8">
      <w:pPr>
        <w:pStyle w:val="ListParagraph"/>
        <w:numPr>
          <w:ilvl w:val="0"/>
          <w:numId w:val="8"/>
        </w:numPr>
        <w:tabs>
          <w:tab w:val="left" w:pos="720"/>
        </w:tabs>
      </w:pPr>
      <w:r>
        <w:t>How should we</w:t>
      </w:r>
      <w:r w:rsidRPr="00E66226">
        <w:t xml:space="preserve"> report</w:t>
      </w:r>
      <w:r w:rsidRPr="00C356A8">
        <w:t xml:space="preserve"> volunteer services (</w:t>
      </w:r>
      <w:r>
        <w:t xml:space="preserve">for example, </w:t>
      </w:r>
      <w:r w:rsidRPr="00C356A8">
        <w:t>in homemaker) that do not</w:t>
      </w:r>
      <w:r w:rsidR="009F2209" w:rsidRPr="00E66226">
        <w:t xml:space="preserve"> have expenditure</w:t>
      </w:r>
      <w:r w:rsidR="009F2209">
        <w:t>s</w:t>
      </w:r>
      <w:r w:rsidR="009F2209" w:rsidRPr="00E66226">
        <w:t xml:space="preserve"> tied to them</w:t>
      </w:r>
      <w:r w:rsidRPr="00E66226">
        <w:t xml:space="preserve">?  </w:t>
      </w:r>
      <w:r w:rsidRPr="00C356A8">
        <w:t xml:space="preserve"> </w:t>
      </w:r>
    </w:p>
    <w:p w14:paraId="0CE5BAA1" w14:textId="6552950E" w:rsidR="00AE5056" w:rsidRDefault="00AE5056" w:rsidP="00C356A8">
      <w:pPr>
        <w:pStyle w:val="ListParagraph"/>
        <w:numPr>
          <w:ilvl w:val="0"/>
          <w:numId w:val="0"/>
        </w:numPr>
        <w:tabs>
          <w:tab w:val="left" w:pos="720"/>
        </w:tabs>
        <w:ind w:left="720"/>
      </w:pPr>
    </w:p>
    <w:p w14:paraId="6E5FE427" w14:textId="67CB2374" w:rsidR="00E66226" w:rsidRDefault="00E66226" w:rsidP="00C356A8">
      <w:pPr>
        <w:spacing w:after="0" w:line="240" w:lineRule="auto"/>
        <w:ind w:left="720"/>
        <w:rPr>
          <w:rFonts w:cstheme="minorHAnsi"/>
        </w:rPr>
      </w:pPr>
      <w:r>
        <w:rPr>
          <w:rFonts w:cstheme="minorHAnsi"/>
        </w:rPr>
        <w:t>Volunteer services are considered to be in-kind expenditures.  S</w:t>
      </w:r>
      <w:r w:rsidRPr="00301E93">
        <w:t>uch in-</w:t>
      </w:r>
      <w:r w:rsidRPr="00FB149E">
        <w:t>kind expenditures can be counted towards match for OAA Title III grants.</w:t>
      </w:r>
      <w:r w:rsidR="00FB149E" w:rsidRPr="00FB149E">
        <w:t xml:space="preserve">  </w:t>
      </w:r>
      <w:r w:rsidR="00FB149E" w:rsidRPr="00FB149E">
        <w:rPr>
          <w:rFonts w:cstheme="minorHAnsi"/>
        </w:rPr>
        <w:t xml:space="preserve">The in-kind expenditure should be based on what the program would have had to pay for this service if not provided by volunteers.  </w:t>
      </w:r>
      <w:r w:rsidR="00FB149E" w:rsidRPr="00C356A8">
        <w:t xml:space="preserve">In-kind expenditures should be reported on fiscal reports and on the SPR programmatic report.  </w:t>
      </w:r>
    </w:p>
    <w:p w14:paraId="46905A71" w14:textId="77777777" w:rsidR="00FB149E" w:rsidRDefault="00FB149E" w:rsidP="00C356A8">
      <w:pPr>
        <w:spacing w:after="0" w:line="240" w:lineRule="auto"/>
        <w:ind w:left="720"/>
        <w:rPr>
          <w:rFonts w:cstheme="minorHAnsi"/>
        </w:rPr>
      </w:pPr>
    </w:p>
    <w:p w14:paraId="1BA1ED3D" w14:textId="61AABEA0" w:rsidR="00082FD1" w:rsidRPr="00E66226" w:rsidRDefault="00082FD1" w:rsidP="00C356A8">
      <w:pPr>
        <w:spacing w:after="0" w:line="240" w:lineRule="auto"/>
        <w:ind w:left="720"/>
        <w:rPr>
          <w:rFonts w:cstheme="minorHAnsi"/>
        </w:rPr>
      </w:pPr>
      <w:r>
        <w:rPr>
          <w:rFonts w:cstheme="minorHAnsi"/>
        </w:rPr>
        <w:t>Volunteer services should be reported</w:t>
      </w:r>
      <w:r w:rsidR="00E66226" w:rsidRPr="00E66226">
        <w:rPr>
          <w:rFonts w:ascii="Calibri" w:hAnsi="Calibri" w:cs="Calibri"/>
        </w:rPr>
        <w:t xml:space="preserve"> </w:t>
      </w:r>
      <w:r w:rsidR="00E66226" w:rsidRPr="004E0E33">
        <w:rPr>
          <w:rFonts w:ascii="Calibri" w:hAnsi="Calibri" w:cs="Calibri"/>
        </w:rPr>
        <w:t xml:space="preserve">in the </w:t>
      </w:r>
      <w:r w:rsidR="00E66226" w:rsidRPr="00C356A8">
        <w:rPr>
          <w:rFonts w:ascii="Calibri" w:hAnsi="Calibri" w:cs="Calibri"/>
          <w:b/>
        </w:rPr>
        <w:t xml:space="preserve">SPR </w:t>
      </w:r>
      <w:r w:rsidR="00E66226" w:rsidRPr="00FB149E">
        <w:rPr>
          <w:rFonts w:ascii="Calibri" w:hAnsi="Calibri" w:cs="Calibri"/>
          <w:b/>
        </w:rPr>
        <w:t>programmatic</w:t>
      </w:r>
      <w:r w:rsidR="00E66226" w:rsidRPr="004E0E33">
        <w:rPr>
          <w:rFonts w:ascii="Calibri" w:hAnsi="Calibri" w:cs="Calibri"/>
          <w:b/>
        </w:rPr>
        <w:t xml:space="preserve"> report</w:t>
      </w:r>
      <w:r>
        <w:rPr>
          <w:rFonts w:cstheme="minorHAnsi"/>
        </w:rPr>
        <w:t xml:space="preserve"> </w:t>
      </w:r>
      <w:r w:rsidR="00E66226">
        <w:rPr>
          <w:rFonts w:cstheme="minorHAnsi"/>
        </w:rPr>
        <w:t>by</w:t>
      </w:r>
      <w:r>
        <w:rPr>
          <w:rFonts w:cstheme="minorHAnsi"/>
        </w:rPr>
        <w:t xml:space="preserve"> service and included </w:t>
      </w:r>
      <w:r w:rsidR="009F2209">
        <w:rPr>
          <w:rFonts w:cstheme="minorHAnsi"/>
        </w:rPr>
        <w:t xml:space="preserve">as </w:t>
      </w:r>
      <w:r>
        <w:rPr>
          <w:rFonts w:cstheme="minorHAnsi"/>
        </w:rPr>
        <w:t>in-kind expenditure</w:t>
      </w:r>
      <w:r w:rsidR="009F2209">
        <w:rPr>
          <w:rFonts w:cstheme="minorHAnsi"/>
        </w:rPr>
        <w:t>s</w:t>
      </w:r>
      <w:r>
        <w:rPr>
          <w:rFonts w:cstheme="minorHAnsi"/>
        </w:rPr>
        <w:t xml:space="preserve"> under Total Service Expenditure on Section II.A, II.B, II.C, and II.E, as appropriate.  </w:t>
      </w:r>
    </w:p>
    <w:p w14:paraId="089F1B0B" w14:textId="77777777" w:rsidR="00082FD1" w:rsidRPr="009F2209" w:rsidRDefault="00082FD1" w:rsidP="00C356A8">
      <w:pPr>
        <w:spacing w:after="0" w:line="240" w:lineRule="auto"/>
        <w:ind w:left="720"/>
        <w:rPr>
          <w:rFonts w:cstheme="minorHAnsi"/>
        </w:rPr>
      </w:pPr>
    </w:p>
    <w:p w14:paraId="05333A4E" w14:textId="1E2ED1A6" w:rsidR="00C86467" w:rsidRPr="00C86467" w:rsidRDefault="00AE5056" w:rsidP="00C86467">
      <w:pPr>
        <w:spacing w:after="0"/>
        <w:ind w:left="720"/>
        <w:rPr>
          <w:rFonts w:cstheme="minorHAnsi"/>
        </w:rPr>
      </w:pPr>
      <w:r w:rsidRPr="00C356A8">
        <w:rPr>
          <w:rFonts w:cstheme="minorHAnsi"/>
        </w:rPr>
        <w:t>For e</w:t>
      </w:r>
      <w:r w:rsidR="009F2209" w:rsidRPr="00E66226">
        <w:rPr>
          <w:rFonts w:cstheme="minorHAnsi"/>
        </w:rPr>
        <w:t>xample, if the going rate for delivery staff is $15/hour, the program</w:t>
      </w:r>
      <w:r w:rsidRPr="00C356A8">
        <w:rPr>
          <w:rFonts w:cstheme="minorHAnsi"/>
        </w:rPr>
        <w:t xml:space="preserve"> should report units</w:t>
      </w:r>
      <w:r w:rsidR="009F2209" w:rsidRPr="00E66226">
        <w:rPr>
          <w:rFonts w:cstheme="minorHAnsi"/>
        </w:rPr>
        <w:t xml:space="preserve"> of delivery x $15 to calculate the in-kind expenditure</w:t>
      </w:r>
      <w:r w:rsidR="009F2209">
        <w:rPr>
          <w:rFonts w:cstheme="minorHAnsi"/>
        </w:rPr>
        <w:t>s</w:t>
      </w:r>
      <w:r w:rsidR="009F2209" w:rsidRPr="00E66226">
        <w:rPr>
          <w:rFonts w:cstheme="minorHAnsi"/>
        </w:rPr>
        <w:t xml:space="preserve"> </w:t>
      </w:r>
      <w:r w:rsidR="009F2209" w:rsidRPr="00E66226">
        <w:t xml:space="preserve">that would be reported under Total Service Expenditure for the </w:t>
      </w:r>
      <w:r w:rsidR="009F2209" w:rsidRPr="00E43538">
        <w:t>Homemaker</w:t>
      </w:r>
      <w:r w:rsidRPr="00C356A8">
        <w:t xml:space="preserve"> </w:t>
      </w:r>
      <w:r w:rsidR="009F2209" w:rsidRPr="00E66226">
        <w:t>service</w:t>
      </w:r>
      <w:r w:rsidRPr="00C356A8">
        <w:t>.</w:t>
      </w:r>
      <w:r w:rsidR="00C86467" w:rsidRPr="00C356A8">
        <w:t xml:space="preserve"> Please see </w:t>
      </w:r>
      <w:r w:rsidR="00FB149E">
        <w:t xml:space="preserve">2 CFR </w:t>
      </w:r>
      <w:r w:rsidR="00C86467" w:rsidRPr="00E66226">
        <w:t>200.306 for more information.</w:t>
      </w:r>
    </w:p>
    <w:p w14:paraId="1061D72D" w14:textId="77777777" w:rsidR="00AE5056" w:rsidRPr="00C356A8" w:rsidRDefault="00AE5056" w:rsidP="00C356A8">
      <w:pPr>
        <w:spacing w:after="0" w:line="240" w:lineRule="auto"/>
        <w:ind w:left="720"/>
        <w:rPr>
          <w:rFonts w:cstheme="minorHAnsi"/>
        </w:rPr>
      </w:pPr>
    </w:p>
    <w:p w14:paraId="1488840F" w14:textId="2D3D29C1" w:rsidR="00AE5056" w:rsidRPr="00C356A8" w:rsidRDefault="009F2209" w:rsidP="00C356A8">
      <w:pPr>
        <w:spacing w:after="0" w:line="240" w:lineRule="auto"/>
        <w:ind w:left="720"/>
        <w:rPr>
          <w:rFonts w:cstheme="minorHAnsi"/>
        </w:rPr>
      </w:pPr>
      <w:r w:rsidRPr="00E66226">
        <w:rPr>
          <w:rFonts w:cstheme="minorHAnsi"/>
        </w:rPr>
        <w:t>States are also</w:t>
      </w:r>
      <w:r w:rsidR="00AE5056" w:rsidRPr="00C356A8">
        <w:rPr>
          <w:rFonts w:cstheme="minorHAnsi"/>
        </w:rPr>
        <w:t xml:space="preserve"> welcome to include detail like “All Homemaker units were provided </w:t>
      </w:r>
      <w:r w:rsidRPr="00E66226">
        <w:rPr>
          <w:rFonts w:cstheme="minorHAnsi"/>
        </w:rPr>
        <w:t xml:space="preserve">by </w:t>
      </w:r>
      <w:r w:rsidR="00AE5056" w:rsidRPr="00C356A8">
        <w:rPr>
          <w:rFonts w:cstheme="minorHAnsi"/>
        </w:rPr>
        <w:t>volunteers” on Section IV.A.</w:t>
      </w:r>
    </w:p>
    <w:p w14:paraId="543EFB74" w14:textId="77B5B6FE" w:rsidR="00AE5056" w:rsidRDefault="00AE5056" w:rsidP="00AE5056">
      <w:pPr>
        <w:rPr>
          <w:color w:val="1F497D"/>
        </w:rPr>
      </w:pPr>
    </w:p>
    <w:p w14:paraId="2C2D1CC5" w14:textId="77777777" w:rsidR="00AE5056" w:rsidRPr="00E66226" w:rsidRDefault="00AE5056" w:rsidP="00C356A8">
      <w:pPr>
        <w:pStyle w:val="ListParagraph"/>
        <w:numPr>
          <w:ilvl w:val="0"/>
          <w:numId w:val="0"/>
        </w:numPr>
        <w:tabs>
          <w:tab w:val="left" w:pos="720"/>
        </w:tabs>
        <w:ind w:left="720"/>
      </w:pPr>
    </w:p>
    <w:sectPr w:rsidR="00AE5056" w:rsidRPr="00E66226" w:rsidSect="00CF0892">
      <w:headerReference w:type="default" r:id="rId16"/>
      <w:footerReference w:type="default" r:id="rId17"/>
      <w:headerReference w:type="first" r:id="rId18"/>
      <w:footerReference w:type="first" r:id="rId19"/>
      <w:pgSz w:w="15840" w:h="12240" w:orient="landscape"/>
      <w:pgMar w:top="1350" w:right="720" w:bottom="720" w:left="8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21EB0" w14:textId="77777777" w:rsidR="00333636" w:rsidRDefault="00333636" w:rsidP="00944993">
      <w:pPr>
        <w:spacing w:after="0" w:line="240" w:lineRule="auto"/>
      </w:pPr>
      <w:r>
        <w:separator/>
      </w:r>
    </w:p>
  </w:endnote>
  <w:endnote w:type="continuationSeparator" w:id="0">
    <w:p w14:paraId="7E09B0FE" w14:textId="77777777" w:rsidR="00333636" w:rsidRDefault="00333636"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278F2262" w:rsidR="00240526" w:rsidRDefault="00240526" w:rsidP="00CF0395">
    <w:pPr>
      <w:pStyle w:val="Footer"/>
      <w:ind w:hanging="720"/>
    </w:pPr>
    <w:r>
      <w:rPr>
        <w:noProof/>
      </w:rPr>
      <w:drawing>
        <wp:anchor distT="0" distB="0" distL="114300" distR="114300" simplePos="0" relativeHeight="251666432" behindDoc="1" locked="0" layoutInCell="1" allowOverlap="1" wp14:anchorId="6972AD12" wp14:editId="06C5A0B7">
          <wp:simplePos x="0" y="0"/>
          <wp:positionH relativeFrom="column">
            <wp:posOffset>-505986</wp:posOffset>
          </wp:positionH>
          <wp:positionV relativeFrom="paragraph">
            <wp:posOffset>-2402840</wp:posOffset>
          </wp:positionV>
          <wp:extent cx="10058400" cy="2582111"/>
          <wp:effectExtent l="0" t="0" r="0" b="8890"/>
          <wp:wrapNone/>
          <wp:docPr id="468" name="Picture 46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2582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5BEE620" w:rsidR="00240526" w:rsidRDefault="00240526">
    <w:pPr>
      <w:pStyle w:val="Footer"/>
    </w:pPr>
    <w:r>
      <w:rPr>
        <w:noProof/>
      </w:rPr>
      <w:drawing>
        <wp:anchor distT="0" distB="0" distL="114300" distR="114300" simplePos="0" relativeHeight="251659264" behindDoc="1" locked="0" layoutInCell="1" allowOverlap="1" wp14:anchorId="0417A31F" wp14:editId="768D64C7">
          <wp:simplePos x="0" y="0"/>
          <wp:positionH relativeFrom="column">
            <wp:posOffset>-516740</wp:posOffset>
          </wp:positionH>
          <wp:positionV relativeFrom="paragraph">
            <wp:posOffset>-2408009</wp:posOffset>
          </wp:positionV>
          <wp:extent cx="10058400" cy="2582439"/>
          <wp:effectExtent l="0" t="0" r="0" b="8890"/>
          <wp:wrapNone/>
          <wp:docPr id="470" name="Picture 47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2582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A034A" w14:textId="77777777" w:rsidR="00333636" w:rsidRDefault="00333636" w:rsidP="00944993">
      <w:pPr>
        <w:spacing w:after="0" w:line="240" w:lineRule="auto"/>
      </w:pPr>
      <w:r>
        <w:separator/>
      </w:r>
    </w:p>
  </w:footnote>
  <w:footnote w:type="continuationSeparator" w:id="0">
    <w:p w14:paraId="11F9BACC" w14:textId="77777777" w:rsidR="00333636" w:rsidRDefault="00333636"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240526" w:rsidRDefault="00240526" w:rsidP="00CF0395">
    <w:pPr>
      <w:pStyle w:val="Header"/>
      <w:ind w:hanging="720"/>
    </w:pPr>
  </w:p>
  <w:p w14:paraId="117D1F58" w14:textId="31DAE4B6" w:rsidR="00240526" w:rsidRPr="003364C4" w:rsidRDefault="00240526" w:rsidP="00ED725D">
    <w:pPr>
      <w:pStyle w:val="Header"/>
      <w:tabs>
        <w:tab w:val="clear" w:pos="4680"/>
        <w:tab w:val="clear" w:pos="9360"/>
      </w:tabs>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 xml:space="preserve">ACL COVID-19 Response · </w:t>
    </w:r>
    <w:r w:rsidR="00FA7F34">
      <w:rPr>
        <w:rFonts w:ascii="Century Gothic" w:hAnsi="Century Gothic" w:cstheme="majorHAnsi"/>
        <w:color w:val="461214" w:themeColor="accent1" w:themeShade="80"/>
        <w:sz w:val="18"/>
        <w:szCs w:val="18"/>
      </w:rPr>
      <w:t xml:space="preserve">FAQs </w:t>
    </w:r>
    <w:r>
      <w:rPr>
        <w:rFonts w:ascii="Century Gothic" w:hAnsi="Century Gothic" w:cstheme="majorHAnsi"/>
        <w:color w:val="461214" w:themeColor="accent1" w:themeShade="80"/>
        <w:sz w:val="18"/>
        <w:szCs w:val="18"/>
      </w:rPr>
      <w:t>Program Reporting Guidance</w:t>
    </w:r>
    <w:r w:rsidRPr="003364C4">
      <w:rPr>
        <w:rFonts w:ascii="Century Gothic" w:hAnsi="Century Gothic" w:cstheme="majorHAnsi"/>
        <w:color w:val="461214" w:themeColor="accent1" w:themeShade="80"/>
        <w:sz w:val="18"/>
        <w:szCs w:val="18"/>
      </w:rPr>
      <w:t xml:space="preserve"> · Page </w:t>
    </w:r>
    <w:r w:rsidRPr="003364C4">
      <w:rPr>
        <w:rFonts w:ascii="Century Gothic" w:hAnsi="Century Gothic" w:cstheme="majorHAnsi"/>
        <w:color w:val="461214" w:themeColor="accent1" w:themeShade="80"/>
        <w:sz w:val="18"/>
        <w:szCs w:val="18"/>
      </w:rPr>
      <w:fldChar w:fldCharType="begin"/>
    </w:r>
    <w:r w:rsidRPr="003364C4">
      <w:rPr>
        <w:rFonts w:ascii="Century Gothic" w:hAnsi="Century Gothic" w:cstheme="majorHAnsi"/>
        <w:color w:val="461214" w:themeColor="accent1" w:themeShade="80"/>
        <w:sz w:val="18"/>
        <w:szCs w:val="18"/>
      </w:rPr>
      <w:instrText xml:space="preserve"> PAGE   \* MERGEFORMAT </w:instrText>
    </w:r>
    <w:r w:rsidRPr="003364C4">
      <w:rPr>
        <w:rFonts w:ascii="Century Gothic" w:hAnsi="Century Gothic" w:cstheme="majorHAnsi"/>
        <w:color w:val="461214" w:themeColor="accent1" w:themeShade="80"/>
        <w:sz w:val="18"/>
        <w:szCs w:val="18"/>
      </w:rPr>
      <w:fldChar w:fldCharType="separate"/>
    </w:r>
    <w:r w:rsidR="00950186">
      <w:rPr>
        <w:rFonts w:ascii="Century Gothic" w:hAnsi="Century Gothic" w:cstheme="majorHAnsi"/>
        <w:noProof/>
        <w:color w:val="461214" w:themeColor="accent1" w:themeShade="80"/>
        <w:sz w:val="18"/>
        <w:szCs w:val="18"/>
      </w:rPr>
      <w:t>3</w:t>
    </w:r>
    <w:r w:rsidRPr="003364C4">
      <w:rPr>
        <w:rFonts w:ascii="Century Gothic" w:hAnsi="Century Gothic" w:cstheme="majorHAnsi"/>
        <w:noProof/>
        <w:color w:val="461214" w:themeColor="accent1" w:themeShade="80"/>
        <w:sz w:val="18"/>
        <w:szCs w:val="18"/>
      </w:rPr>
      <w:fldChar w:fldCharType="end"/>
    </w:r>
    <w:r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618DF0F6" w:rsidR="00240526" w:rsidRDefault="00240526" w:rsidP="0059020F">
    <w:pPr>
      <w:pStyle w:val="Header"/>
      <w:ind w:right="-1270" w:hanging="810"/>
    </w:pPr>
    <w:r>
      <w:rPr>
        <w:noProof/>
      </w:rPr>
      <w:drawing>
        <wp:inline distT="0" distB="0" distL="0" distR="0" wp14:anchorId="1D6204CE" wp14:editId="51459BC4">
          <wp:extent cx="10058400" cy="1246384"/>
          <wp:effectExtent l="0" t="0" r="0" b="0"/>
          <wp:docPr id="469" name="Picture 46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124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B14"/>
    <w:multiLevelType w:val="hybridMultilevel"/>
    <w:tmpl w:val="47A2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82D"/>
    <w:multiLevelType w:val="hybridMultilevel"/>
    <w:tmpl w:val="01E292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4C6165"/>
    <w:multiLevelType w:val="hybridMultilevel"/>
    <w:tmpl w:val="63065C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7E46CB5"/>
    <w:multiLevelType w:val="multilevel"/>
    <w:tmpl w:val="4C1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60AA7"/>
    <w:multiLevelType w:val="multilevel"/>
    <w:tmpl w:val="C964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65E1A"/>
    <w:multiLevelType w:val="hybridMultilevel"/>
    <w:tmpl w:val="8C2620DC"/>
    <w:lvl w:ilvl="0" w:tplc="40E86740">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0059F7"/>
    <w:multiLevelType w:val="hybridMultilevel"/>
    <w:tmpl w:val="8CB2EBC8"/>
    <w:lvl w:ilvl="0" w:tplc="AD3C4528">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6050E1"/>
    <w:multiLevelType w:val="hybridMultilevel"/>
    <w:tmpl w:val="EEB891E6"/>
    <w:lvl w:ilvl="0" w:tplc="75FA7174">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3F5FC1"/>
    <w:multiLevelType w:val="multilevel"/>
    <w:tmpl w:val="88D84E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6744F33"/>
    <w:multiLevelType w:val="hybridMultilevel"/>
    <w:tmpl w:val="AD38BD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B56C01"/>
    <w:multiLevelType w:val="hybridMultilevel"/>
    <w:tmpl w:val="32F43F4C"/>
    <w:lvl w:ilvl="0" w:tplc="0409000F">
      <w:start w:val="9"/>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4D650F"/>
    <w:multiLevelType w:val="hybridMultilevel"/>
    <w:tmpl w:val="472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13"/>
  </w:num>
  <w:num w:numId="5">
    <w:abstractNumId w:val="0"/>
  </w:num>
  <w:num w:numId="6">
    <w:abstractNumId w:val="9"/>
  </w:num>
  <w:num w:numId="7">
    <w:abstractNumId w:val="8"/>
  </w:num>
  <w:num w:numId="8">
    <w:abstractNumId w:val="11"/>
  </w:num>
  <w:num w:numId="9">
    <w:abstractNumId w:val="12"/>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15B54"/>
    <w:rsid w:val="00022543"/>
    <w:rsid w:val="000325DC"/>
    <w:rsid w:val="00041940"/>
    <w:rsid w:val="00047D52"/>
    <w:rsid w:val="00066173"/>
    <w:rsid w:val="00081577"/>
    <w:rsid w:val="00082FD1"/>
    <w:rsid w:val="000B37AF"/>
    <w:rsid w:val="000E7E21"/>
    <w:rsid w:val="000F4B44"/>
    <w:rsid w:val="00101776"/>
    <w:rsid w:val="00116C89"/>
    <w:rsid w:val="00131E50"/>
    <w:rsid w:val="00170362"/>
    <w:rsid w:val="00180AAC"/>
    <w:rsid w:val="001A3C57"/>
    <w:rsid w:val="001B7CE5"/>
    <w:rsid w:val="001C1D90"/>
    <w:rsid w:val="001C41A9"/>
    <w:rsid w:val="00222F18"/>
    <w:rsid w:val="002307EE"/>
    <w:rsid w:val="00240526"/>
    <w:rsid w:val="00244A47"/>
    <w:rsid w:val="0028282F"/>
    <w:rsid w:val="002829CC"/>
    <w:rsid w:val="0028369D"/>
    <w:rsid w:val="002A3FF9"/>
    <w:rsid w:val="002D6AB7"/>
    <w:rsid w:val="002E3B47"/>
    <w:rsid w:val="002E57B5"/>
    <w:rsid w:val="002F1291"/>
    <w:rsid w:val="002F76B9"/>
    <w:rsid w:val="00303DC4"/>
    <w:rsid w:val="003138FC"/>
    <w:rsid w:val="0031736C"/>
    <w:rsid w:val="00321866"/>
    <w:rsid w:val="00321C6E"/>
    <w:rsid w:val="00333636"/>
    <w:rsid w:val="00335A34"/>
    <w:rsid w:val="00335BE7"/>
    <w:rsid w:val="003364C4"/>
    <w:rsid w:val="00343C07"/>
    <w:rsid w:val="00351203"/>
    <w:rsid w:val="0035796D"/>
    <w:rsid w:val="00382C12"/>
    <w:rsid w:val="00396B0E"/>
    <w:rsid w:val="003B562C"/>
    <w:rsid w:val="003C152C"/>
    <w:rsid w:val="003D6E07"/>
    <w:rsid w:val="003F3BD8"/>
    <w:rsid w:val="004134EE"/>
    <w:rsid w:val="00425DA8"/>
    <w:rsid w:val="00440037"/>
    <w:rsid w:val="004800DD"/>
    <w:rsid w:val="00493862"/>
    <w:rsid w:val="004A4EEB"/>
    <w:rsid w:val="004A6DD0"/>
    <w:rsid w:val="004C1CC9"/>
    <w:rsid w:val="004D1AFA"/>
    <w:rsid w:val="004E0E33"/>
    <w:rsid w:val="005623CE"/>
    <w:rsid w:val="00573345"/>
    <w:rsid w:val="0059020F"/>
    <w:rsid w:val="005A55C3"/>
    <w:rsid w:val="005B5035"/>
    <w:rsid w:val="005C1FE3"/>
    <w:rsid w:val="005D2416"/>
    <w:rsid w:val="005E73E2"/>
    <w:rsid w:val="00611E75"/>
    <w:rsid w:val="00664FE1"/>
    <w:rsid w:val="006813A4"/>
    <w:rsid w:val="0068443B"/>
    <w:rsid w:val="00696D50"/>
    <w:rsid w:val="006A20AB"/>
    <w:rsid w:val="006C06A5"/>
    <w:rsid w:val="006C5FA0"/>
    <w:rsid w:val="006D2485"/>
    <w:rsid w:val="006D387C"/>
    <w:rsid w:val="0070414F"/>
    <w:rsid w:val="00741C6C"/>
    <w:rsid w:val="00782AEA"/>
    <w:rsid w:val="00786BCE"/>
    <w:rsid w:val="007A4711"/>
    <w:rsid w:val="007B251B"/>
    <w:rsid w:val="007B4487"/>
    <w:rsid w:val="007F18AA"/>
    <w:rsid w:val="008044CC"/>
    <w:rsid w:val="008100B7"/>
    <w:rsid w:val="0084330D"/>
    <w:rsid w:val="00847A18"/>
    <w:rsid w:val="008915CB"/>
    <w:rsid w:val="008C057F"/>
    <w:rsid w:val="008C4C77"/>
    <w:rsid w:val="008C4CAD"/>
    <w:rsid w:val="008D0C22"/>
    <w:rsid w:val="00900C6A"/>
    <w:rsid w:val="009032B9"/>
    <w:rsid w:val="00926607"/>
    <w:rsid w:val="00944993"/>
    <w:rsid w:val="00950186"/>
    <w:rsid w:val="0097176C"/>
    <w:rsid w:val="00993801"/>
    <w:rsid w:val="009A06D0"/>
    <w:rsid w:val="009A7E2C"/>
    <w:rsid w:val="009D7509"/>
    <w:rsid w:val="009E5A09"/>
    <w:rsid w:val="009E7426"/>
    <w:rsid w:val="009E7DF2"/>
    <w:rsid w:val="009F2209"/>
    <w:rsid w:val="00A01AC0"/>
    <w:rsid w:val="00A01C01"/>
    <w:rsid w:val="00A02C61"/>
    <w:rsid w:val="00A10167"/>
    <w:rsid w:val="00A1677D"/>
    <w:rsid w:val="00A52E12"/>
    <w:rsid w:val="00A564D7"/>
    <w:rsid w:val="00A80D89"/>
    <w:rsid w:val="00AA2BEE"/>
    <w:rsid w:val="00AA331A"/>
    <w:rsid w:val="00AB0DDF"/>
    <w:rsid w:val="00AB60AC"/>
    <w:rsid w:val="00AE5056"/>
    <w:rsid w:val="00B00A1E"/>
    <w:rsid w:val="00B46A95"/>
    <w:rsid w:val="00B57A22"/>
    <w:rsid w:val="00B67174"/>
    <w:rsid w:val="00B7178F"/>
    <w:rsid w:val="00B90A49"/>
    <w:rsid w:val="00B914C8"/>
    <w:rsid w:val="00B9191C"/>
    <w:rsid w:val="00B922DC"/>
    <w:rsid w:val="00BA35DE"/>
    <w:rsid w:val="00BB601C"/>
    <w:rsid w:val="00BB78A4"/>
    <w:rsid w:val="00C012A1"/>
    <w:rsid w:val="00C037C5"/>
    <w:rsid w:val="00C3154D"/>
    <w:rsid w:val="00C356A8"/>
    <w:rsid w:val="00C4743C"/>
    <w:rsid w:val="00C47C25"/>
    <w:rsid w:val="00C578F6"/>
    <w:rsid w:val="00C86467"/>
    <w:rsid w:val="00C9314D"/>
    <w:rsid w:val="00C9672A"/>
    <w:rsid w:val="00CB3E17"/>
    <w:rsid w:val="00CD4168"/>
    <w:rsid w:val="00CE132A"/>
    <w:rsid w:val="00CF0395"/>
    <w:rsid w:val="00CF0892"/>
    <w:rsid w:val="00D013DE"/>
    <w:rsid w:val="00D07DF7"/>
    <w:rsid w:val="00D11A4D"/>
    <w:rsid w:val="00D30596"/>
    <w:rsid w:val="00D52579"/>
    <w:rsid w:val="00D85188"/>
    <w:rsid w:val="00D931F3"/>
    <w:rsid w:val="00D94ED3"/>
    <w:rsid w:val="00D971CD"/>
    <w:rsid w:val="00DB0D55"/>
    <w:rsid w:val="00DB12E0"/>
    <w:rsid w:val="00DD18A0"/>
    <w:rsid w:val="00DD4570"/>
    <w:rsid w:val="00E215C7"/>
    <w:rsid w:val="00E24CCF"/>
    <w:rsid w:val="00E4263B"/>
    <w:rsid w:val="00E43538"/>
    <w:rsid w:val="00E4399B"/>
    <w:rsid w:val="00E513D1"/>
    <w:rsid w:val="00E563E0"/>
    <w:rsid w:val="00E66226"/>
    <w:rsid w:val="00E8435D"/>
    <w:rsid w:val="00E8524B"/>
    <w:rsid w:val="00E91AEB"/>
    <w:rsid w:val="00E9369E"/>
    <w:rsid w:val="00ED725D"/>
    <w:rsid w:val="00EF17B5"/>
    <w:rsid w:val="00EF272F"/>
    <w:rsid w:val="00F01057"/>
    <w:rsid w:val="00F04978"/>
    <w:rsid w:val="00F21104"/>
    <w:rsid w:val="00F22893"/>
    <w:rsid w:val="00F253F6"/>
    <w:rsid w:val="00F36CF2"/>
    <w:rsid w:val="00F540CF"/>
    <w:rsid w:val="00F62A31"/>
    <w:rsid w:val="00F87A89"/>
    <w:rsid w:val="00F97E42"/>
    <w:rsid w:val="00FA7F34"/>
    <w:rsid w:val="00FB149E"/>
    <w:rsid w:val="00FB6AD0"/>
    <w:rsid w:val="00FD3F38"/>
    <w:rsid w:val="00FE7D98"/>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table" w:styleId="TableGrid">
    <w:name w:val="Table Grid"/>
    <w:basedOn w:val="TableNormal"/>
    <w:uiPriority w:val="39"/>
    <w:rsid w:val="00A80D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0D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4F"/>
    <w:rPr>
      <w:rFonts w:ascii="Segoe UI" w:hAnsi="Segoe UI" w:cs="Segoe UI"/>
      <w:sz w:val="18"/>
      <w:szCs w:val="18"/>
    </w:rPr>
  </w:style>
  <w:style w:type="character" w:styleId="CommentReference">
    <w:name w:val="annotation reference"/>
    <w:basedOn w:val="DefaultParagraphFont"/>
    <w:uiPriority w:val="99"/>
    <w:semiHidden/>
    <w:unhideWhenUsed/>
    <w:rsid w:val="001A3C57"/>
    <w:rPr>
      <w:sz w:val="16"/>
      <w:szCs w:val="16"/>
    </w:rPr>
  </w:style>
  <w:style w:type="paragraph" w:styleId="CommentText">
    <w:name w:val="annotation text"/>
    <w:basedOn w:val="Normal"/>
    <w:link w:val="CommentTextChar"/>
    <w:uiPriority w:val="99"/>
    <w:semiHidden/>
    <w:unhideWhenUsed/>
    <w:rsid w:val="001A3C57"/>
    <w:pPr>
      <w:spacing w:line="240" w:lineRule="auto"/>
    </w:pPr>
    <w:rPr>
      <w:sz w:val="20"/>
      <w:szCs w:val="20"/>
    </w:rPr>
  </w:style>
  <w:style w:type="character" w:customStyle="1" w:styleId="CommentTextChar">
    <w:name w:val="Comment Text Char"/>
    <w:basedOn w:val="DefaultParagraphFont"/>
    <w:link w:val="CommentText"/>
    <w:uiPriority w:val="99"/>
    <w:semiHidden/>
    <w:rsid w:val="001A3C57"/>
    <w:rPr>
      <w:sz w:val="20"/>
      <w:szCs w:val="20"/>
    </w:rPr>
  </w:style>
  <w:style w:type="paragraph" w:styleId="CommentSubject">
    <w:name w:val="annotation subject"/>
    <w:basedOn w:val="CommentText"/>
    <w:next w:val="CommentText"/>
    <w:link w:val="CommentSubjectChar"/>
    <w:uiPriority w:val="99"/>
    <w:semiHidden/>
    <w:unhideWhenUsed/>
    <w:rsid w:val="001A3C57"/>
    <w:rPr>
      <w:b/>
      <w:bCs/>
    </w:rPr>
  </w:style>
  <w:style w:type="character" w:customStyle="1" w:styleId="CommentSubjectChar">
    <w:name w:val="Comment Subject Char"/>
    <w:basedOn w:val="CommentTextChar"/>
    <w:link w:val="CommentSubject"/>
    <w:uiPriority w:val="99"/>
    <w:semiHidden/>
    <w:rsid w:val="001A3C57"/>
    <w:rPr>
      <w:b/>
      <w:bCs/>
      <w:sz w:val="20"/>
      <w:szCs w:val="20"/>
    </w:rPr>
  </w:style>
  <w:style w:type="paragraph" w:styleId="NormalWeb">
    <w:name w:val="Normal (Web)"/>
    <w:basedOn w:val="Normal"/>
    <w:uiPriority w:val="99"/>
    <w:semiHidden/>
    <w:unhideWhenUsed/>
    <w:rsid w:val="00082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733">
      <w:bodyDiv w:val="1"/>
      <w:marLeft w:val="0"/>
      <w:marRight w:val="0"/>
      <w:marTop w:val="0"/>
      <w:marBottom w:val="0"/>
      <w:divBdr>
        <w:top w:val="none" w:sz="0" w:space="0" w:color="auto"/>
        <w:left w:val="none" w:sz="0" w:space="0" w:color="auto"/>
        <w:bottom w:val="none" w:sz="0" w:space="0" w:color="auto"/>
        <w:right w:val="none" w:sz="0" w:space="0" w:color="auto"/>
      </w:divBdr>
    </w:div>
    <w:div w:id="25253350">
      <w:bodyDiv w:val="1"/>
      <w:marLeft w:val="0"/>
      <w:marRight w:val="0"/>
      <w:marTop w:val="0"/>
      <w:marBottom w:val="0"/>
      <w:divBdr>
        <w:top w:val="none" w:sz="0" w:space="0" w:color="auto"/>
        <w:left w:val="none" w:sz="0" w:space="0" w:color="auto"/>
        <w:bottom w:val="none" w:sz="0" w:space="0" w:color="auto"/>
        <w:right w:val="none" w:sz="0" w:space="0" w:color="auto"/>
      </w:divBdr>
    </w:div>
    <w:div w:id="74284027">
      <w:bodyDiv w:val="1"/>
      <w:marLeft w:val="0"/>
      <w:marRight w:val="0"/>
      <w:marTop w:val="0"/>
      <w:marBottom w:val="0"/>
      <w:divBdr>
        <w:top w:val="none" w:sz="0" w:space="0" w:color="auto"/>
        <w:left w:val="none" w:sz="0" w:space="0" w:color="auto"/>
        <w:bottom w:val="none" w:sz="0" w:space="0" w:color="auto"/>
        <w:right w:val="none" w:sz="0" w:space="0" w:color="auto"/>
      </w:divBdr>
    </w:div>
    <w:div w:id="320698091">
      <w:bodyDiv w:val="1"/>
      <w:marLeft w:val="0"/>
      <w:marRight w:val="0"/>
      <w:marTop w:val="0"/>
      <w:marBottom w:val="0"/>
      <w:divBdr>
        <w:top w:val="none" w:sz="0" w:space="0" w:color="auto"/>
        <w:left w:val="none" w:sz="0" w:space="0" w:color="auto"/>
        <w:bottom w:val="none" w:sz="0" w:space="0" w:color="auto"/>
        <w:right w:val="none" w:sz="0" w:space="0" w:color="auto"/>
      </w:divBdr>
    </w:div>
    <w:div w:id="373190306">
      <w:bodyDiv w:val="1"/>
      <w:marLeft w:val="0"/>
      <w:marRight w:val="0"/>
      <w:marTop w:val="0"/>
      <w:marBottom w:val="0"/>
      <w:divBdr>
        <w:top w:val="none" w:sz="0" w:space="0" w:color="auto"/>
        <w:left w:val="none" w:sz="0" w:space="0" w:color="auto"/>
        <w:bottom w:val="none" w:sz="0" w:space="0" w:color="auto"/>
        <w:right w:val="none" w:sz="0" w:space="0" w:color="auto"/>
      </w:divBdr>
    </w:div>
    <w:div w:id="646054551">
      <w:bodyDiv w:val="1"/>
      <w:marLeft w:val="0"/>
      <w:marRight w:val="0"/>
      <w:marTop w:val="0"/>
      <w:marBottom w:val="0"/>
      <w:divBdr>
        <w:top w:val="none" w:sz="0" w:space="0" w:color="auto"/>
        <w:left w:val="none" w:sz="0" w:space="0" w:color="auto"/>
        <w:bottom w:val="none" w:sz="0" w:space="0" w:color="auto"/>
        <w:right w:val="none" w:sz="0" w:space="0" w:color="auto"/>
      </w:divBdr>
    </w:div>
    <w:div w:id="674921526">
      <w:bodyDiv w:val="1"/>
      <w:marLeft w:val="0"/>
      <w:marRight w:val="0"/>
      <w:marTop w:val="0"/>
      <w:marBottom w:val="0"/>
      <w:divBdr>
        <w:top w:val="none" w:sz="0" w:space="0" w:color="auto"/>
        <w:left w:val="none" w:sz="0" w:space="0" w:color="auto"/>
        <w:bottom w:val="none" w:sz="0" w:space="0" w:color="auto"/>
        <w:right w:val="none" w:sz="0" w:space="0" w:color="auto"/>
      </w:divBdr>
    </w:div>
    <w:div w:id="700203553">
      <w:bodyDiv w:val="1"/>
      <w:marLeft w:val="0"/>
      <w:marRight w:val="0"/>
      <w:marTop w:val="0"/>
      <w:marBottom w:val="0"/>
      <w:divBdr>
        <w:top w:val="none" w:sz="0" w:space="0" w:color="auto"/>
        <w:left w:val="none" w:sz="0" w:space="0" w:color="auto"/>
        <w:bottom w:val="none" w:sz="0" w:space="0" w:color="auto"/>
        <w:right w:val="none" w:sz="0" w:space="0" w:color="auto"/>
      </w:divBdr>
    </w:div>
    <w:div w:id="897015830">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318729113">
      <w:bodyDiv w:val="1"/>
      <w:marLeft w:val="0"/>
      <w:marRight w:val="0"/>
      <w:marTop w:val="0"/>
      <w:marBottom w:val="0"/>
      <w:divBdr>
        <w:top w:val="none" w:sz="0" w:space="0" w:color="auto"/>
        <w:left w:val="none" w:sz="0" w:space="0" w:color="auto"/>
        <w:bottom w:val="none" w:sz="0" w:space="0" w:color="auto"/>
        <w:right w:val="none" w:sz="0" w:space="0" w:color="auto"/>
      </w:divBdr>
    </w:div>
    <w:div w:id="1401833088">
      <w:bodyDiv w:val="1"/>
      <w:marLeft w:val="0"/>
      <w:marRight w:val="0"/>
      <w:marTop w:val="0"/>
      <w:marBottom w:val="0"/>
      <w:divBdr>
        <w:top w:val="none" w:sz="0" w:space="0" w:color="auto"/>
        <w:left w:val="none" w:sz="0" w:space="0" w:color="auto"/>
        <w:bottom w:val="none" w:sz="0" w:space="0" w:color="auto"/>
        <w:right w:val="none" w:sz="0" w:space="0" w:color="auto"/>
      </w:divBdr>
    </w:div>
    <w:div w:id="1420954196">
      <w:bodyDiv w:val="1"/>
      <w:marLeft w:val="0"/>
      <w:marRight w:val="0"/>
      <w:marTop w:val="0"/>
      <w:marBottom w:val="0"/>
      <w:divBdr>
        <w:top w:val="none" w:sz="0" w:space="0" w:color="auto"/>
        <w:left w:val="none" w:sz="0" w:space="0" w:color="auto"/>
        <w:bottom w:val="none" w:sz="0" w:space="0" w:color="auto"/>
        <w:right w:val="none" w:sz="0" w:space="0" w:color="auto"/>
      </w:divBdr>
    </w:div>
    <w:div w:id="1682704570">
      <w:bodyDiv w:val="1"/>
      <w:marLeft w:val="0"/>
      <w:marRight w:val="0"/>
      <w:marTop w:val="0"/>
      <w:marBottom w:val="0"/>
      <w:divBdr>
        <w:top w:val="none" w:sz="0" w:space="0" w:color="auto"/>
        <w:left w:val="none" w:sz="0" w:space="0" w:color="auto"/>
        <w:bottom w:val="none" w:sz="0" w:space="0" w:color="auto"/>
        <w:right w:val="none" w:sz="0" w:space="0" w:color="auto"/>
      </w:divBdr>
    </w:div>
    <w:div w:id="1924294831">
      <w:bodyDiv w:val="1"/>
      <w:marLeft w:val="0"/>
      <w:marRight w:val="0"/>
      <w:marTop w:val="0"/>
      <w:marBottom w:val="0"/>
      <w:divBdr>
        <w:top w:val="none" w:sz="0" w:space="0" w:color="auto"/>
        <w:left w:val="none" w:sz="0" w:space="0" w:color="auto"/>
        <w:bottom w:val="none" w:sz="0" w:space="0" w:color="auto"/>
        <w:right w:val="none" w:sz="0" w:space="0" w:color="auto"/>
      </w:divBdr>
    </w:div>
    <w:div w:id="1936329149">
      <w:bodyDiv w:val="1"/>
      <w:marLeft w:val="0"/>
      <w:marRight w:val="0"/>
      <w:marTop w:val="0"/>
      <w:marBottom w:val="0"/>
      <w:divBdr>
        <w:top w:val="none" w:sz="0" w:space="0" w:color="auto"/>
        <w:left w:val="none" w:sz="0" w:space="0" w:color="auto"/>
        <w:bottom w:val="none" w:sz="0" w:space="0" w:color="auto"/>
        <w:right w:val="none" w:sz="0" w:space="0" w:color="auto"/>
      </w:divBdr>
    </w:div>
    <w:div w:id="1948806686">
      <w:bodyDiv w:val="1"/>
      <w:marLeft w:val="0"/>
      <w:marRight w:val="0"/>
      <w:marTop w:val="0"/>
      <w:marBottom w:val="0"/>
      <w:divBdr>
        <w:top w:val="none" w:sz="0" w:space="0" w:color="auto"/>
        <w:left w:val="none" w:sz="0" w:space="0" w:color="auto"/>
        <w:bottom w:val="none" w:sz="0" w:space="0" w:color="auto"/>
        <w:right w:val="none" w:sz="0" w:space="0" w:color="auto"/>
      </w:divBdr>
    </w:div>
    <w:div w:id="1951080640">
      <w:bodyDiv w:val="1"/>
      <w:marLeft w:val="0"/>
      <w:marRight w:val="0"/>
      <w:marTop w:val="0"/>
      <w:marBottom w:val="0"/>
      <w:divBdr>
        <w:top w:val="none" w:sz="0" w:space="0" w:color="auto"/>
        <w:left w:val="none" w:sz="0" w:space="0" w:color="auto"/>
        <w:bottom w:val="none" w:sz="0" w:space="0" w:color="auto"/>
        <w:right w:val="none" w:sz="0" w:space="0" w:color="auto"/>
      </w:divBdr>
    </w:div>
    <w:div w:id="1968655849">
      <w:bodyDiv w:val="1"/>
      <w:marLeft w:val="0"/>
      <w:marRight w:val="0"/>
      <w:marTop w:val="0"/>
      <w:marBottom w:val="0"/>
      <w:divBdr>
        <w:top w:val="none" w:sz="0" w:space="0" w:color="auto"/>
        <w:left w:val="none" w:sz="0" w:space="0" w:color="auto"/>
        <w:bottom w:val="none" w:sz="0" w:space="0" w:color="auto"/>
        <w:right w:val="none" w:sz="0" w:space="0" w:color="auto"/>
      </w:divBdr>
    </w:div>
    <w:div w:id="2062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sites/default/files/common/Posted%20-%20C19-SPR_2020-05-11%20AWR%20v.2.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l.gov/sites/default/files/programs/2020-01/State_Program_Report_0985-0008_Expires123120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mmon/AoA%20-%20Major%20Disaster%20Declaration%20Fiscal%20FAQ%20FINAL%204-8-2020_0.docx" TargetMode="External"/><Relationship Id="rId5" Type="http://schemas.openxmlformats.org/officeDocument/2006/relationships/numbering" Target="numbering.xml"/><Relationship Id="rId15" Type="http://schemas.openxmlformats.org/officeDocument/2006/relationships/hyperlink" Target="mailto:ACL-OAAPS-PILOT@icf.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2.fireeye.com/url?k=ebedac7d-b7b9b501-ebed9d42-0cc47adc5fa2-f83be54cd6d69180&amp;u=https://gcc01.safelinks.protection.outlook.com/?url=https%3A%2F%2Fwww.oaaps-pilot.acl.gov%2Fapp%2Fwelcome&amp;data=02%7C01%7Clfrymyer%40pa.gov%7Cd0dfe569da974f29a60d08d801896b0d%7C418e284101284dd59b6c47fc5a9a1bde%7C0%7C0%7C637261037020880632&amp;sdata=kvQuqQ9CqPJh%2FhwuBp3b8C45xQB6f7gWLbt0ZnDJGJI%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c4568af-78d6-4de7-8a7f-d4a1b22f7f5e"/>
    <ds:schemaRef ds:uri="http://purl.org/dc/elements/1.1/"/>
    <ds:schemaRef ds:uri="http://schemas.microsoft.com/office/2006/metadata/properties"/>
    <ds:schemaRef ds:uri="http://purl.org/dc/terms/"/>
    <ds:schemaRef ds:uri="cba8d4a1-0a1c-4299-93a5-2682bf5a17ad"/>
    <ds:schemaRef ds:uri="http://www.w3.org/XML/1998/namespace"/>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69537AEA-CD57-49D8-A157-E045F62D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ACL COVID-19 Response: Program Reporting Guidelines</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 Program Reporting Guidelines</dc:title>
  <dc:subject/>
  <dc:creator>Administration for Community Living</dc:creator>
  <cp:keywords/>
  <dc:description/>
  <cp:lastModifiedBy>Walker, Edwin L. (ACL)</cp:lastModifiedBy>
  <cp:revision>2</cp:revision>
  <dcterms:created xsi:type="dcterms:W3CDTF">2020-06-08T19:12:00Z</dcterms:created>
  <dcterms:modified xsi:type="dcterms:W3CDTF">2020-06-08T19:12:00Z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