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08D93" w14:textId="77777777" w:rsidR="00C10838" w:rsidRPr="00B52318" w:rsidRDefault="00153D73" w:rsidP="000A5699">
      <w:pPr>
        <w:pStyle w:val="Title"/>
        <w:spacing w:before="0" w:after="0"/>
        <w:rPr>
          <w:sz w:val="56"/>
        </w:rPr>
      </w:pPr>
      <w:r w:rsidRPr="00B52318">
        <w:t>Administration for</w:t>
      </w:r>
      <w:r w:rsidR="00C10838" w:rsidRPr="00B52318">
        <w:t xml:space="preserve"> Community Living</w:t>
      </w:r>
    </w:p>
    <w:p w14:paraId="1F140B2F" w14:textId="77777777" w:rsidR="004B7E3C" w:rsidRPr="00A83F84" w:rsidRDefault="00BF057A" w:rsidP="00A83F84">
      <w:pPr>
        <w:pStyle w:val="Heading1"/>
        <w:spacing w:before="240"/>
        <w:rPr>
          <w:rFonts w:cs="Times New Roman"/>
          <w:szCs w:val="22"/>
        </w:rPr>
      </w:pPr>
      <w:r w:rsidRPr="00A83F84">
        <w:rPr>
          <w:szCs w:val="22"/>
        </w:rPr>
        <w:t>What We Do and Why We Do It</w:t>
      </w:r>
    </w:p>
    <w:p w14:paraId="5EFDC830" w14:textId="77777777" w:rsidR="004B7E3C" w:rsidRPr="00A83F84" w:rsidRDefault="00654D24" w:rsidP="00A83F84">
      <w:pPr>
        <w:spacing w:before="0" w:after="0"/>
        <w:jc w:val="both"/>
        <w:rPr>
          <w:szCs w:val="22"/>
        </w:rPr>
      </w:pPr>
      <w:r w:rsidRPr="00A83F84">
        <w:rPr>
          <w:noProof/>
          <w:szCs w:val="22"/>
          <w:lang w:bidi="ar-SA"/>
        </w:rPr>
        <mc:AlternateContent>
          <mc:Choice Requires="wps">
            <w:drawing>
              <wp:anchor distT="0" distB="0" distL="114300" distR="114300" simplePos="0" relativeHeight="251658240" behindDoc="1" locked="0" layoutInCell="0" allowOverlap="1" wp14:anchorId="20FBCB66" wp14:editId="76B6C8F1">
                <wp:simplePos x="0" y="0"/>
                <wp:positionH relativeFrom="margin">
                  <wp:posOffset>4563110</wp:posOffset>
                </wp:positionH>
                <wp:positionV relativeFrom="margin">
                  <wp:posOffset>1363345</wp:posOffset>
                </wp:positionV>
                <wp:extent cx="2057400" cy="1207770"/>
                <wp:effectExtent l="0" t="0" r="0" b="0"/>
                <wp:wrapSquare wrapText="bothSides"/>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07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BD066" w14:textId="77777777" w:rsidR="00F53987" w:rsidRPr="0072591B" w:rsidRDefault="00F53987" w:rsidP="00E51869">
                            <w:pPr>
                              <w:spacing w:before="0" w:after="60"/>
                              <w:ind w:firstLine="187"/>
                              <w:jc w:val="center"/>
                              <w:rPr>
                                <w:color w:val="BE1E2D"/>
                                <w:spacing w:val="200"/>
                                <w:sz w:val="18"/>
                              </w:rPr>
                            </w:pPr>
                            <w:r w:rsidRPr="0072591B">
                              <w:rPr>
                                <w:rFonts w:ascii="Arial" w:hAnsi="Arial" w:cs="Arial"/>
                                <w:color w:val="BE1E2D"/>
                                <w:spacing w:val="200"/>
                                <w:szCs w:val="26"/>
                              </w:rPr>
                              <w:t>●●●</w:t>
                            </w:r>
                          </w:p>
                          <w:p w14:paraId="65E67CB8" w14:textId="77777777" w:rsidR="00F53987" w:rsidRPr="00A83F84" w:rsidRDefault="004B7E3C" w:rsidP="000A5699">
                            <w:pPr>
                              <w:spacing w:before="0" w:after="0" w:line="264" w:lineRule="auto"/>
                              <w:jc w:val="center"/>
                              <w:rPr>
                                <w:rFonts w:asciiTheme="majorHAnsi" w:eastAsiaTheme="majorEastAsia" w:hAnsiTheme="majorHAnsi" w:cstheme="majorBidi"/>
                                <w:b/>
                                <w:color w:val="1F497D" w:themeColor="text2"/>
                                <w:szCs w:val="22"/>
                              </w:rPr>
                            </w:pPr>
                            <w:r w:rsidRPr="00A83F84">
                              <w:rPr>
                                <w:rFonts w:asciiTheme="majorHAnsi" w:eastAsiaTheme="majorEastAsia" w:hAnsiTheme="majorHAnsi" w:cstheme="majorBidi"/>
                                <w:b/>
                                <w:color w:val="1F497D" w:themeColor="text2"/>
                                <w:szCs w:val="22"/>
                              </w:rPr>
                              <w:t xml:space="preserve">Advancing independence, integration, and inclusion </w:t>
                            </w:r>
                            <w:r w:rsidR="008C484F" w:rsidRPr="00A83F84">
                              <w:rPr>
                                <w:rFonts w:asciiTheme="majorHAnsi" w:eastAsiaTheme="majorEastAsia" w:hAnsiTheme="majorHAnsi" w:cstheme="majorBidi"/>
                                <w:b/>
                                <w:color w:val="1F497D" w:themeColor="text2"/>
                                <w:szCs w:val="22"/>
                              </w:rPr>
                              <w:t xml:space="preserve">for all people </w:t>
                            </w:r>
                            <w:r w:rsidR="008C484F" w:rsidRPr="00A83F84">
                              <w:rPr>
                                <w:rFonts w:asciiTheme="majorHAnsi" w:eastAsiaTheme="majorEastAsia" w:hAnsiTheme="majorHAnsi" w:cstheme="majorBidi"/>
                                <w:b/>
                                <w:color w:val="1F497D" w:themeColor="text2"/>
                                <w:szCs w:val="22"/>
                              </w:rPr>
                              <w:br/>
                              <w:t>throughout life</w:t>
                            </w:r>
                          </w:p>
                          <w:p w14:paraId="564B8A5E" w14:textId="77777777" w:rsidR="00F53987" w:rsidRPr="0072591B" w:rsidRDefault="001035AC" w:rsidP="00E51869">
                            <w:pPr>
                              <w:spacing w:before="60" w:after="0"/>
                              <w:ind w:firstLine="187"/>
                              <w:jc w:val="center"/>
                              <w:rPr>
                                <w:color w:val="BE1E2D"/>
                                <w:spacing w:val="200"/>
                                <w:sz w:val="18"/>
                              </w:rPr>
                            </w:pPr>
                            <w:r w:rsidRPr="0072591B">
                              <w:rPr>
                                <w:rFonts w:ascii="Arial" w:hAnsi="Arial" w:cs="Arial"/>
                                <w:color w:val="BE1E2D"/>
                                <w:spacing w:val="200"/>
                                <w:szCs w:val="26"/>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114748F" id="Rectangle 10" o:spid="_x0000_s1026" style="position:absolute;left:0;text-align:left;margin-left:359.3pt;margin-top:107.35pt;width:162pt;height:9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" o:allowincell="f" stroked="f">
                <v:textbox>
                  <w:txbxContent>
                    <w:p w:rsidR="00F53987" w:rsidRPr="0072591B" w:rsidRDefault="00F53987" w:rsidP="00E51869">
                      <w:pPr>
                        <w:spacing w:before="0" w:after="60"/>
                        <w:ind w:firstLine="187"/>
                        <w:jc w:val="center"/>
                        <w:rPr>
                          <w:color w:val="BE1E2D"/>
                          <w:spacing w:val="200"/>
                          <w:sz w:val="18"/>
                        </w:rPr>
                      </w:pPr>
                      <w:r w:rsidRPr="0072591B">
                        <w:rPr>
                          <w:rFonts w:ascii="Arial" w:hAnsi="Arial" w:cs="Arial"/>
                          <w:color w:val="BE1E2D"/>
                          <w:spacing w:val="200"/>
                          <w:szCs w:val="26"/>
                        </w:rPr>
                        <w:t>●●●</w:t>
                      </w:r>
                    </w:p>
                    <w:p w:rsidR="00F53987" w:rsidRPr="00A83F84" w:rsidRDefault="004B7E3C" w:rsidP="000A5699">
                      <w:pPr>
                        <w:spacing w:before="0" w:after="0" w:line="264" w:lineRule="auto"/>
                        <w:jc w:val="center"/>
                        <w:rPr>
                          <w:rFonts w:asciiTheme="majorHAnsi" w:eastAsiaTheme="majorEastAsia" w:hAnsiTheme="majorHAnsi" w:cstheme="majorBidi"/>
                          <w:b/>
                          <w:color w:val="1F497D" w:themeColor="text2"/>
                          <w:szCs w:val="22"/>
                        </w:rPr>
                      </w:pPr>
                      <w:r w:rsidRPr="00A83F84">
                        <w:rPr>
                          <w:rFonts w:asciiTheme="majorHAnsi" w:eastAsiaTheme="majorEastAsia" w:hAnsiTheme="majorHAnsi" w:cstheme="majorBidi"/>
                          <w:b/>
                          <w:color w:val="1F497D" w:themeColor="text2"/>
                          <w:szCs w:val="22"/>
                        </w:rPr>
                        <w:t xml:space="preserve">Advancing independence, integration, and inclusion </w:t>
                      </w:r>
                      <w:r w:rsidR="008C484F" w:rsidRPr="00A83F84">
                        <w:rPr>
                          <w:rFonts w:asciiTheme="majorHAnsi" w:eastAsiaTheme="majorEastAsia" w:hAnsiTheme="majorHAnsi" w:cstheme="majorBidi"/>
                          <w:b/>
                          <w:color w:val="1F497D" w:themeColor="text2"/>
                          <w:szCs w:val="22"/>
                        </w:rPr>
                        <w:t xml:space="preserve">for all people </w:t>
                      </w:r>
                      <w:r w:rsidR="008C484F" w:rsidRPr="00A83F84">
                        <w:rPr>
                          <w:rFonts w:asciiTheme="majorHAnsi" w:eastAsiaTheme="majorEastAsia" w:hAnsiTheme="majorHAnsi" w:cstheme="majorBidi"/>
                          <w:b/>
                          <w:color w:val="1F497D" w:themeColor="text2"/>
                          <w:szCs w:val="22"/>
                        </w:rPr>
                        <w:br/>
                        <w:t>throughout life</w:t>
                      </w:r>
                    </w:p>
                    <w:p w:rsidR="00F53987" w:rsidRPr="0072591B" w:rsidRDefault="001035AC" w:rsidP="00E51869">
                      <w:pPr>
                        <w:spacing w:before="60" w:after="0"/>
                        <w:ind w:firstLine="187"/>
                        <w:jc w:val="center"/>
                        <w:rPr>
                          <w:color w:val="BE1E2D"/>
                          <w:spacing w:val="200"/>
                          <w:sz w:val="18"/>
                        </w:rPr>
                      </w:pPr>
                      <w:r w:rsidRPr="0072591B">
                        <w:rPr>
                          <w:rFonts w:ascii="Arial" w:hAnsi="Arial" w:cs="Arial"/>
                          <w:color w:val="BE1E2D"/>
                          <w:spacing w:val="200"/>
                          <w:szCs w:val="26"/>
                        </w:rPr>
                        <w:t>●●●</w:t>
                      </w:r>
                    </w:p>
                  </w:txbxContent>
                </v:textbox>
                <w10:wrap type="square" anchorx="margin" anchory="margin"/>
              </v:rect>
            </w:pict>
          </mc:Fallback>
        </mc:AlternateContent>
      </w:r>
      <w:r w:rsidR="004B7E3C" w:rsidRPr="00A83F84">
        <w:rPr>
          <w:szCs w:val="22"/>
        </w:rPr>
        <w:t>ACL was created around the fundamental principle that all people, regardless of age or disability, should be able to live independently and fully participate in their communities. By advocating across the federal government for older adults, people with disabilities, and families and caregivers; funding services and supports provided by primarily by networks of community-based organizations; and investing in training, education, research and innovation, ACL helps makes this principle a reality for millions of Americans.</w:t>
      </w:r>
    </w:p>
    <w:p w14:paraId="48F5C988" w14:textId="77777777" w:rsidR="00BF057A" w:rsidRPr="00A83F84" w:rsidRDefault="00BF057A" w:rsidP="00A83F84">
      <w:pPr>
        <w:pStyle w:val="Heading1"/>
        <w:rPr>
          <w:rFonts w:cs="Times New Roman"/>
          <w:szCs w:val="22"/>
        </w:rPr>
      </w:pPr>
      <w:r w:rsidRPr="00A83F84">
        <w:rPr>
          <w:szCs w:val="22"/>
        </w:rPr>
        <w:t>ACL Today: A Snapshot</w:t>
      </w:r>
    </w:p>
    <w:p w14:paraId="1841360F" w14:textId="77777777" w:rsidR="00BF057A" w:rsidRPr="00A83F84" w:rsidRDefault="00BF057A" w:rsidP="00A83F84">
      <w:pPr>
        <w:spacing w:before="0" w:after="120"/>
        <w:jc w:val="both"/>
        <w:rPr>
          <w:rFonts w:eastAsia="Times New Roman"/>
          <w:szCs w:val="22"/>
        </w:rPr>
      </w:pPr>
      <w:r w:rsidRPr="00A83F84">
        <w:rPr>
          <w:rFonts w:eastAsia="Times New Roman"/>
          <w:szCs w:val="22"/>
        </w:rPr>
        <w:t>ACL was initially established in April 2012, bringing together federal advocacy for older adults and people with disabilities, along with most federal human services programs for older adults and people with intellectual and developmental disabilities, missions previously housed in multiple organizations across the U.S. Department of Health and Human Services. Our portfolio has grown significantly in the years since with the transfer of programs from other agencies to ACL. These additions include a research institute; independent living, assistive technology, and traumatic brain injury programs; paralysis and limb-loss resource centers; and programs that help people navigate their Medicare benefits and the health system.</w:t>
      </w:r>
    </w:p>
    <w:p w14:paraId="18C39426" w14:textId="40DBAAE2" w:rsidR="00BF057A" w:rsidRPr="00A83F84" w:rsidRDefault="00BF057A" w:rsidP="00A83F84">
      <w:pPr>
        <w:spacing w:before="0" w:after="120"/>
        <w:jc w:val="both"/>
        <w:rPr>
          <w:rFonts w:eastAsia="Times New Roman"/>
          <w:szCs w:val="22"/>
        </w:rPr>
      </w:pPr>
      <w:r w:rsidRPr="00A83F84">
        <w:rPr>
          <w:rFonts w:eastAsia="Times New Roman"/>
          <w:szCs w:val="22"/>
        </w:rPr>
        <w:t>Today, ACL’s budget is over $2</w:t>
      </w:r>
      <w:r w:rsidR="004B68DC">
        <w:rPr>
          <w:rFonts w:eastAsia="Times New Roman"/>
          <w:szCs w:val="22"/>
        </w:rPr>
        <w:t>.2</w:t>
      </w:r>
      <w:r w:rsidRPr="00A83F84">
        <w:rPr>
          <w:rFonts w:eastAsia="Times New Roman"/>
          <w:szCs w:val="22"/>
        </w:rPr>
        <w:t xml:space="preserve"> billion, and the agency awards several thousand grants and contracts to help people of all ages live independently in their communities. </w:t>
      </w:r>
    </w:p>
    <w:p w14:paraId="22174036" w14:textId="1C968584" w:rsidR="00BF057A" w:rsidRPr="00A83F84" w:rsidRDefault="00BF057A" w:rsidP="00A83F84">
      <w:pPr>
        <w:spacing w:before="0" w:after="0"/>
        <w:jc w:val="both"/>
        <w:rPr>
          <w:rFonts w:eastAsia="Times New Roman"/>
          <w:szCs w:val="22"/>
        </w:rPr>
      </w:pPr>
      <w:r w:rsidRPr="00A83F84">
        <w:rPr>
          <w:rFonts w:eastAsia="Times New Roman"/>
          <w:szCs w:val="22"/>
        </w:rPr>
        <w:t xml:space="preserve">This work has never been more important. There are </w:t>
      </w:r>
      <w:r w:rsidR="00DA77C4">
        <w:rPr>
          <w:rFonts w:eastAsia="Times New Roman"/>
          <w:szCs w:val="22"/>
        </w:rPr>
        <w:t>more than 77</w:t>
      </w:r>
      <w:r w:rsidRPr="00A83F84">
        <w:rPr>
          <w:rFonts w:eastAsia="Times New Roman"/>
          <w:szCs w:val="22"/>
        </w:rPr>
        <w:t xml:space="preserve"> million people age 60 and older</w:t>
      </w:r>
      <w:r w:rsidR="00DA77C4">
        <w:rPr>
          <w:rFonts w:eastAsia="Times New Roman"/>
          <w:szCs w:val="22"/>
        </w:rPr>
        <w:t>, and more than 61 million people with disabilities living in the United States</w:t>
      </w:r>
      <w:r w:rsidRPr="00A83F84">
        <w:rPr>
          <w:rFonts w:eastAsia="Times New Roman"/>
          <w:szCs w:val="22"/>
        </w:rPr>
        <w:t>.  All but a tiny percentage of them live in non-institutional settings. Both populations are growing, and older Americans are one of the fastest-growing demographics in the country; by 20</w:t>
      </w:r>
      <w:r w:rsidR="00AB158D">
        <w:rPr>
          <w:rFonts w:eastAsia="Times New Roman"/>
          <w:szCs w:val="22"/>
        </w:rPr>
        <w:t>40</w:t>
      </w:r>
      <w:r w:rsidRPr="00A83F84">
        <w:rPr>
          <w:rFonts w:eastAsia="Times New Roman"/>
          <w:szCs w:val="22"/>
        </w:rPr>
        <w:t xml:space="preserve">, there will be </w:t>
      </w:r>
      <w:r w:rsidR="00AB158D">
        <w:rPr>
          <w:rFonts w:eastAsia="Times New Roman"/>
          <w:szCs w:val="22"/>
        </w:rPr>
        <w:t xml:space="preserve">more than 80 million </w:t>
      </w:r>
      <w:r w:rsidRPr="00A83F84">
        <w:rPr>
          <w:rFonts w:eastAsia="Times New Roman"/>
          <w:szCs w:val="22"/>
        </w:rPr>
        <w:t>people over the age of 6</w:t>
      </w:r>
      <w:r w:rsidR="00AB158D">
        <w:rPr>
          <w:rFonts w:eastAsia="Times New Roman"/>
          <w:szCs w:val="22"/>
        </w:rPr>
        <w:t>5</w:t>
      </w:r>
      <w:r w:rsidRPr="00A83F84">
        <w:rPr>
          <w:rFonts w:eastAsia="Times New Roman"/>
          <w:szCs w:val="22"/>
        </w:rPr>
        <w:t xml:space="preserve">. </w:t>
      </w:r>
    </w:p>
    <w:p w14:paraId="71071940" w14:textId="77777777" w:rsidR="00C10838" w:rsidRPr="00A83F84" w:rsidRDefault="00BF057A" w:rsidP="00A83F84">
      <w:pPr>
        <w:pStyle w:val="Heading1"/>
        <w:rPr>
          <w:rFonts w:cs="Times New Roman"/>
          <w:szCs w:val="22"/>
        </w:rPr>
      </w:pPr>
      <w:r w:rsidRPr="00A83F84">
        <w:rPr>
          <w:szCs w:val="22"/>
        </w:rPr>
        <w:t>Brin</w:t>
      </w:r>
      <w:r w:rsidR="008C484F" w:rsidRPr="00A83F84">
        <w:rPr>
          <w:szCs w:val="22"/>
        </w:rPr>
        <w:t>g</w:t>
      </w:r>
      <w:r w:rsidRPr="00A83F84">
        <w:rPr>
          <w:szCs w:val="22"/>
        </w:rPr>
        <w:t>ing Aging and Disability Work Together to Better Serve Both</w:t>
      </w:r>
    </w:p>
    <w:p w14:paraId="3860B0F3" w14:textId="2F1EF69D" w:rsidR="00A83F84" w:rsidRDefault="004B7E3C" w:rsidP="00A83F84">
      <w:pPr>
        <w:spacing w:before="0" w:after="120"/>
        <w:jc w:val="both"/>
        <w:rPr>
          <w:rFonts w:eastAsia="Times New Roman"/>
          <w:szCs w:val="22"/>
        </w:rPr>
      </w:pPr>
      <w:r w:rsidRPr="00A83F84">
        <w:rPr>
          <w:rFonts w:eastAsia="Times New Roman"/>
          <w:szCs w:val="22"/>
        </w:rPr>
        <w:t xml:space="preserve">Bringing together aging and disability work has worked remarkably well. Stakeholders embraced the concept and committed to making it successful. </w:t>
      </w:r>
      <w:r w:rsidR="00AB158D">
        <w:rPr>
          <w:rFonts w:eastAsia="Times New Roman"/>
          <w:szCs w:val="22"/>
        </w:rPr>
        <w:t>Ten years later, t</w:t>
      </w:r>
      <w:r w:rsidRPr="00A83F84">
        <w:rPr>
          <w:rFonts w:eastAsia="Times New Roman"/>
          <w:szCs w:val="22"/>
        </w:rPr>
        <w:t>hese communities are increasingly coming together at the state and local levels, and ACL is frequently asked for help in forging these new collaborative relationships</w:t>
      </w:r>
      <w:r w:rsidR="00A83F84">
        <w:rPr>
          <w:rFonts w:eastAsia="Times New Roman"/>
          <w:szCs w:val="22"/>
        </w:rPr>
        <w:t>.</w:t>
      </w:r>
    </w:p>
    <w:p w14:paraId="70712820" w14:textId="77777777" w:rsidR="00A83F84" w:rsidRDefault="00A83F84" w:rsidP="00A83F84">
      <w:pPr>
        <w:spacing w:before="0" w:after="0"/>
        <w:jc w:val="both"/>
        <w:rPr>
          <w:rFonts w:eastAsia="Times New Roman"/>
          <w:szCs w:val="22"/>
        </w:rPr>
      </w:pPr>
      <w:r w:rsidRPr="00A83F84">
        <w:rPr>
          <w:rFonts w:eastAsia="Times New Roman"/>
          <w:szCs w:val="22"/>
        </w:rPr>
        <w:t xml:space="preserve">There are a lot of similarities in the services and supports older adults and people with disabilities need </w:t>
      </w:r>
      <w:proofErr w:type="gramStart"/>
      <w:r w:rsidRPr="00A83F84">
        <w:rPr>
          <w:rFonts w:eastAsia="Times New Roman"/>
          <w:szCs w:val="22"/>
        </w:rPr>
        <w:t>in order to</w:t>
      </w:r>
      <w:proofErr w:type="gramEnd"/>
      <w:r w:rsidRPr="00A83F84">
        <w:rPr>
          <w:rFonts w:eastAsia="Times New Roman"/>
          <w:szCs w:val="22"/>
        </w:rPr>
        <w:t xml:space="preserve"> live independently. As one agency, we </w:t>
      </w:r>
      <w:proofErr w:type="gramStart"/>
      <w:r w:rsidRPr="00A83F84">
        <w:rPr>
          <w:rFonts w:eastAsia="Times New Roman"/>
          <w:szCs w:val="22"/>
        </w:rPr>
        <w:t>are able to</w:t>
      </w:r>
      <w:proofErr w:type="gramEnd"/>
      <w:r w:rsidRPr="00A83F84">
        <w:rPr>
          <w:rFonts w:eastAsia="Times New Roman"/>
          <w:szCs w:val="22"/>
        </w:rPr>
        <w:t xml:space="preserve"> leverage learnings and best practices for meeting those similar needs.  Further, the disability and aging communities together have a larger voice, and ultimately are more successful advocates, than either community on its own.</w:t>
      </w:r>
      <w:r w:rsidRPr="00A83F84" w:rsidDel="004009D3">
        <w:rPr>
          <w:rFonts w:eastAsia="Times New Roman"/>
          <w:szCs w:val="22"/>
        </w:rPr>
        <w:t xml:space="preserve"> At the same time neither network loses the unique elements of their individual missions. </w:t>
      </w:r>
      <w:r w:rsidRPr="00A83F84">
        <w:rPr>
          <w:rFonts w:eastAsia="Times New Roman"/>
          <w:szCs w:val="22"/>
        </w:rPr>
        <w:t>There are issues that affect both people with disabilities and older adults, and we join forces to address them. But there also are issues that affect only older adults, or only people with disabilities, and ACL continues to develop and manage programs, and advocate for the two populations individually, as well.</w:t>
      </w:r>
      <w:r>
        <w:rPr>
          <w:rFonts w:eastAsia="Times New Roman"/>
          <w:szCs w:val="22"/>
        </w:rPr>
        <w:t xml:space="preserve"> </w:t>
      </w:r>
    </w:p>
    <w:p w14:paraId="401D4943" w14:textId="77777777" w:rsidR="00A83F84" w:rsidRPr="00A83F84" w:rsidRDefault="00A83F84" w:rsidP="00A83F84">
      <w:pPr>
        <w:spacing w:before="0" w:after="120"/>
        <w:jc w:val="both"/>
        <w:rPr>
          <w:rFonts w:eastAsia="Times New Roman"/>
          <w:sz w:val="16"/>
          <w:szCs w:val="16"/>
        </w:rPr>
        <w:sectPr w:rsidR="00A83F84" w:rsidRPr="00A83F84" w:rsidSect="00345537">
          <w:headerReference w:type="default" r:id="rId7"/>
          <w:footerReference w:type="default" r:id="rId8"/>
          <w:headerReference w:type="first" r:id="rId9"/>
          <w:footerReference w:type="first" r:id="rId10"/>
          <w:pgSz w:w="12240" w:h="15840"/>
          <w:pgMar w:top="2790" w:right="1008" w:bottom="1620" w:left="1008" w:header="0" w:footer="288" w:gutter="0"/>
          <w:cols w:space="720"/>
          <w:titlePg/>
          <w:docGrid w:linePitch="360"/>
        </w:sectPr>
      </w:pPr>
      <w:r w:rsidRPr="00A83F84">
        <w:rPr>
          <w:rFonts w:eastAsia="Times New Roman"/>
          <w:sz w:val="16"/>
          <w:szCs w:val="16"/>
        </w:rPr>
        <w:t xml:space="preserve"> </w:t>
      </w:r>
    </w:p>
    <w:p w14:paraId="3E907013" w14:textId="77777777" w:rsidR="00BF057A" w:rsidRPr="00A83F84" w:rsidRDefault="00BF057A" w:rsidP="00A83F84">
      <w:pPr>
        <w:pStyle w:val="Heading1"/>
        <w:spacing w:before="0"/>
        <w:rPr>
          <w:rFonts w:cs="Times New Roman"/>
          <w:szCs w:val="22"/>
        </w:rPr>
      </w:pPr>
      <w:r w:rsidRPr="00A83F84">
        <w:rPr>
          <w:szCs w:val="22"/>
        </w:rPr>
        <w:lastRenderedPageBreak/>
        <w:t>A Person-Centered Approach</w:t>
      </w:r>
    </w:p>
    <w:p w14:paraId="46284F7C" w14:textId="77777777" w:rsidR="004B7E3C" w:rsidRPr="00A83F84" w:rsidRDefault="004B7E3C" w:rsidP="00A83F84">
      <w:pPr>
        <w:spacing w:before="0" w:after="120"/>
        <w:jc w:val="both"/>
        <w:rPr>
          <w:rFonts w:eastAsia="Times New Roman"/>
          <w:szCs w:val="22"/>
        </w:rPr>
      </w:pPr>
      <w:r w:rsidRPr="00A83F84">
        <w:rPr>
          <w:rFonts w:eastAsia="Times New Roman"/>
          <w:szCs w:val="22"/>
        </w:rPr>
        <w:t xml:space="preserve">ACL believes that every person has the right to make choices and to control the decisions in their lives. This right to self-determination includes decisions about where to live, decisions about work, and all the other daily decisions most adults make without a second thought. </w:t>
      </w:r>
    </w:p>
    <w:p w14:paraId="137E25EF" w14:textId="77777777" w:rsidR="004B7E3C" w:rsidRPr="00A83F84" w:rsidRDefault="004B7E3C" w:rsidP="00A83F84">
      <w:pPr>
        <w:spacing w:before="0" w:after="120"/>
        <w:jc w:val="both"/>
        <w:rPr>
          <w:rFonts w:eastAsia="Times New Roman"/>
          <w:szCs w:val="22"/>
        </w:rPr>
      </w:pPr>
      <w:r w:rsidRPr="00A83F84">
        <w:rPr>
          <w:rFonts w:eastAsia="Times New Roman"/>
          <w:szCs w:val="22"/>
        </w:rPr>
        <w:t>Many older adults and people with disabilities need help with the daily tasks of life. For some people this is physical help, like help with dressing and eating. For others, it is help with making decisions and planning. Still other</w:t>
      </w:r>
      <w:r w:rsidR="00BF057A" w:rsidRPr="00A83F84">
        <w:rPr>
          <w:rFonts w:eastAsia="Times New Roman"/>
          <w:szCs w:val="22"/>
        </w:rPr>
        <w:t xml:space="preserve">s require a blend of supports. </w:t>
      </w:r>
      <w:r w:rsidRPr="00A83F84">
        <w:rPr>
          <w:rFonts w:eastAsia="Times New Roman"/>
          <w:szCs w:val="22"/>
        </w:rPr>
        <w:t xml:space="preserve">Each person is unique, and the </w:t>
      </w:r>
      <w:r w:rsidR="00BF057A" w:rsidRPr="00A83F84">
        <w:rPr>
          <w:rFonts w:eastAsia="Times New Roman"/>
          <w:szCs w:val="22"/>
        </w:rPr>
        <w:t xml:space="preserve">help they may need is as well. </w:t>
      </w:r>
      <w:r w:rsidRPr="00A83F84">
        <w:rPr>
          <w:rFonts w:eastAsia="Times New Roman"/>
          <w:szCs w:val="22"/>
        </w:rPr>
        <w:t xml:space="preserve">We believe that the preferences and needs of older adults and people with disabilities who need assistance belong at the center of the system of services and supports that enable them to live the lives they want to live. We further believe that those </w:t>
      </w:r>
      <w:proofErr w:type="gramStart"/>
      <w:r w:rsidRPr="00A83F84">
        <w:rPr>
          <w:rFonts w:eastAsia="Times New Roman"/>
          <w:szCs w:val="22"/>
        </w:rPr>
        <w:t>needs</w:t>
      </w:r>
      <w:proofErr w:type="gramEnd"/>
      <w:r w:rsidRPr="00A83F84">
        <w:rPr>
          <w:rFonts w:eastAsia="Times New Roman"/>
          <w:szCs w:val="22"/>
        </w:rPr>
        <w:t xml:space="preserve"> and preferences should be defined by the individual receiving services and supports. </w:t>
      </w:r>
    </w:p>
    <w:p w14:paraId="69820C27" w14:textId="77777777" w:rsidR="004B7E3C" w:rsidRPr="00A83F84" w:rsidRDefault="004B7E3C" w:rsidP="00A83F84">
      <w:pPr>
        <w:spacing w:before="0" w:after="120"/>
        <w:jc w:val="both"/>
        <w:rPr>
          <w:rFonts w:eastAsia="Times New Roman"/>
          <w:szCs w:val="22"/>
        </w:rPr>
      </w:pPr>
      <w:r w:rsidRPr="00A83F84">
        <w:rPr>
          <w:rFonts w:eastAsia="Times New Roman"/>
          <w:szCs w:val="22"/>
        </w:rPr>
        <w:t xml:space="preserve">At the same time, ACL recognizes that some people with disabilities and some older adults experience challenges in understanding and communicating their preferences and needs, and family members and caregivers often play a critical role in ensuring that those preferences are </w:t>
      </w:r>
      <w:proofErr w:type="gramStart"/>
      <w:r w:rsidRPr="00A83F84">
        <w:rPr>
          <w:rFonts w:eastAsia="Times New Roman"/>
          <w:szCs w:val="22"/>
        </w:rPr>
        <w:t>honored</w:t>
      </w:r>
      <w:proofErr w:type="gramEnd"/>
      <w:r w:rsidRPr="00A83F84">
        <w:rPr>
          <w:rFonts w:eastAsia="Times New Roman"/>
          <w:szCs w:val="22"/>
        </w:rPr>
        <w:t xml:space="preserve"> and needs are met.</w:t>
      </w:r>
    </w:p>
    <w:p w14:paraId="3D191533" w14:textId="77777777" w:rsidR="004B7E3C" w:rsidRPr="00A83F84" w:rsidRDefault="004B7E3C" w:rsidP="00A83F84">
      <w:pPr>
        <w:spacing w:before="0" w:after="0"/>
        <w:jc w:val="both"/>
        <w:rPr>
          <w:rFonts w:eastAsia="Times New Roman"/>
          <w:szCs w:val="22"/>
        </w:rPr>
      </w:pPr>
      <w:r w:rsidRPr="00A83F84">
        <w:rPr>
          <w:rFonts w:eastAsia="Times New Roman"/>
          <w:szCs w:val="22"/>
        </w:rPr>
        <w:t xml:space="preserve">We also recognize that the preferences of the individual are not the only factor in determining how to best support that person. The availability of services and supports in a variety of settings, the resources and availability of family caregivers, and other factors also must be considered.  </w:t>
      </w:r>
    </w:p>
    <w:p w14:paraId="064F27FD" w14:textId="77777777" w:rsidR="00BF057A" w:rsidRPr="00A83F84" w:rsidRDefault="00BF057A" w:rsidP="00A83F84">
      <w:pPr>
        <w:pStyle w:val="Heading1"/>
        <w:rPr>
          <w:rFonts w:cs="Times New Roman"/>
          <w:szCs w:val="22"/>
        </w:rPr>
      </w:pPr>
      <w:r w:rsidRPr="00A83F84">
        <w:rPr>
          <w:szCs w:val="22"/>
        </w:rPr>
        <w:t>Protecting Rights and Preventing Abuse</w:t>
      </w:r>
    </w:p>
    <w:p w14:paraId="25BDBBF3" w14:textId="77777777" w:rsidR="004B7E3C" w:rsidRPr="00A83F84" w:rsidRDefault="004B7E3C" w:rsidP="00A83F84">
      <w:pPr>
        <w:spacing w:before="0" w:after="0"/>
        <w:jc w:val="both"/>
        <w:rPr>
          <w:rFonts w:eastAsia="Times New Roman"/>
          <w:szCs w:val="22"/>
        </w:rPr>
      </w:pPr>
      <w:r w:rsidRPr="00A83F84">
        <w:rPr>
          <w:rFonts w:eastAsia="Times New Roman"/>
          <w:szCs w:val="22"/>
        </w:rPr>
        <w:t xml:space="preserve">All people have the right to live their lives with dignity and respect, free from abuse of any kind. Unfortunately, far too many older adults and people with disabilities are abused, </w:t>
      </w:r>
      <w:proofErr w:type="gramStart"/>
      <w:r w:rsidRPr="00A83F84">
        <w:rPr>
          <w:rFonts w:eastAsia="Times New Roman"/>
          <w:szCs w:val="22"/>
        </w:rPr>
        <w:t>neglected</w:t>
      </w:r>
      <w:proofErr w:type="gramEnd"/>
      <w:r w:rsidRPr="00A83F84">
        <w:rPr>
          <w:rFonts w:eastAsia="Times New Roman"/>
          <w:szCs w:val="22"/>
        </w:rPr>
        <w:t xml:space="preserve"> or exploited. ACL is committed to developing systems and programs that prevent abuse from happening, protecting people from abusive situations, and supporting people who have experienced abuse to help them recover.  </w:t>
      </w:r>
    </w:p>
    <w:p w14:paraId="7AE0251A" w14:textId="77777777" w:rsidR="00BF057A" w:rsidRPr="00A83F84" w:rsidRDefault="00BF057A" w:rsidP="00A83F84">
      <w:pPr>
        <w:pStyle w:val="Heading1"/>
        <w:rPr>
          <w:rFonts w:cs="Times New Roman"/>
          <w:szCs w:val="22"/>
        </w:rPr>
      </w:pPr>
      <w:r w:rsidRPr="00A83F84">
        <w:rPr>
          <w:szCs w:val="22"/>
        </w:rPr>
        <w:t>Supporting People Where They Want to Live</w:t>
      </w:r>
    </w:p>
    <w:p w14:paraId="03FC4FC2" w14:textId="77777777" w:rsidR="004B7E3C" w:rsidRPr="00A83F84" w:rsidRDefault="004B7E3C" w:rsidP="00A83F84">
      <w:pPr>
        <w:spacing w:before="0" w:after="120"/>
        <w:jc w:val="both"/>
        <w:rPr>
          <w:rFonts w:eastAsia="Times New Roman"/>
          <w:szCs w:val="22"/>
        </w:rPr>
      </w:pPr>
      <w:r w:rsidRPr="00A83F84">
        <w:rPr>
          <w:rFonts w:eastAsia="Times New Roman"/>
          <w:szCs w:val="22"/>
        </w:rPr>
        <w:t xml:space="preserve">ACL believes that home- and community-based services and supports should be robust enough that individuals with even the most complex medical and behavioral needs can be appropriately and effectively supported in their own home or other community-based settings. We know this is possible – it has been demonstrated in many communities. </w:t>
      </w:r>
    </w:p>
    <w:p w14:paraId="018C7BF4" w14:textId="77777777" w:rsidR="004B7E3C" w:rsidRPr="00A83F84" w:rsidRDefault="004B7E3C" w:rsidP="00A83F84">
      <w:pPr>
        <w:spacing w:before="0" w:after="0"/>
        <w:jc w:val="both"/>
        <w:rPr>
          <w:rFonts w:eastAsia="Times New Roman"/>
          <w:szCs w:val="22"/>
        </w:rPr>
      </w:pPr>
      <w:r w:rsidRPr="00A83F84">
        <w:rPr>
          <w:rFonts w:eastAsia="Times New Roman"/>
          <w:szCs w:val="22"/>
        </w:rPr>
        <w:t xml:space="preserve">Therefore, ACL advocates for the continued expansion and coordination of home- and community-based services and improvements in quality so that older adults and people with disabilities have more and better options about how and where to receive the long-term services and supports they need. </w:t>
      </w:r>
    </w:p>
    <w:p w14:paraId="057BF525" w14:textId="77777777" w:rsidR="00C10838" w:rsidRPr="00A83F84" w:rsidRDefault="00C10838" w:rsidP="00A83F84">
      <w:pPr>
        <w:pStyle w:val="Heading1"/>
        <w:spacing w:before="240"/>
        <w:rPr>
          <w:sz w:val="20"/>
        </w:rPr>
      </w:pPr>
      <w:r w:rsidRPr="00A83F84">
        <w:rPr>
          <w:sz w:val="20"/>
        </w:rPr>
        <w:t>For additional information about ACL:</w:t>
      </w:r>
    </w:p>
    <w:p w14:paraId="7F783413" w14:textId="77777777" w:rsidR="0013115C" w:rsidRPr="00A83F84" w:rsidRDefault="00C10838" w:rsidP="00A83F84">
      <w:pPr>
        <w:pStyle w:val="ACLFooter"/>
        <w:rPr>
          <w:rFonts w:asciiTheme="minorHAnsi" w:hAnsiTheme="minorHAnsi" w:cs="Times New Roman"/>
          <w:sz w:val="20"/>
        </w:rPr>
      </w:pPr>
      <w:r w:rsidRPr="00A83F84">
        <w:rPr>
          <w:rFonts w:asciiTheme="minorHAnsi" w:hAnsiTheme="minorHAnsi" w:cs="Times New Roman"/>
          <w:sz w:val="20"/>
        </w:rPr>
        <w:t>U.S. Department of Health and Human Services</w:t>
      </w:r>
    </w:p>
    <w:p w14:paraId="4172CBF9" w14:textId="77777777" w:rsidR="00C10838" w:rsidRPr="00A83F84" w:rsidRDefault="00C10838" w:rsidP="00A83F84">
      <w:pPr>
        <w:pStyle w:val="ACLFooter"/>
        <w:rPr>
          <w:rFonts w:asciiTheme="minorHAnsi" w:hAnsiTheme="minorHAnsi" w:cs="Times New Roman"/>
          <w:sz w:val="20"/>
        </w:rPr>
      </w:pPr>
      <w:r w:rsidRPr="00A83F84">
        <w:rPr>
          <w:rFonts w:asciiTheme="minorHAnsi" w:hAnsiTheme="minorHAnsi" w:cs="Times New Roman"/>
          <w:sz w:val="20"/>
        </w:rPr>
        <w:t>Administration for Community Living</w:t>
      </w:r>
    </w:p>
    <w:p w14:paraId="6C07EED7" w14:textId="77777777" w:rsidR="00C10838" w:rsidRPr="00A83F84" w:rsidRDefault="00C10838" w:rsidP="00A83F84">
      <w:pPr>
        <w:pStyle w:val="ACLFooter"/>
        <w:rPr>
          <w:rFonts w:asciiTheme="minorHAnsi" w:hAnsiTheme="minorHAnsi" w:cs="Times New Roman"/>
          <w:sz w:val="20"/>
        </w:rPr>
      </w:pPr>
      <w:r w:rsidRPr="00A83F84">
        <w:rPr>
          <w:rFonts w:asciiTheme="minorHAnsi" w:hAnsiTheme="minorHAnsi" w:cs="Times New Roman"/>
          <w:sz w:val="20"/>
        </w:rPr>
        <w:t>Washington, DC 20201</w:t>
      </w:r>
    </w:p>
    <w:p w14:paraId="076290B7" w14:textId="77777777" w:rsidR="0013115C" w:rsidRPr="00A83F84" w:rsidRDefault="00C10838" w:rsidP="00A83F84">
      <w:pPr>
        <w:pStyle w:val="ACLFooter"/>
        <w:rPr>
          <w:rFonts w:asciiTheme="minorHAnsi" w:hAnsiTheme="minorHAnsi" w:cs="Times New Roman"/>
          <w:sz w:val="20"/>
        </w:rPr>
      </w:pPr>
      <w:r w:rsidRPr="00A83F84">
        <w:rPr>
          <w:rFonts w:asciiTheme="minorHAnsi" w:hAnsiTheme="minorHAnsi" w:cs="Times New Roman"/>
          <w:sz w:val="20"/>
        </w:rPr>
        <w:t xml:space="preserve">Phone: (202) 401-4634 </w:t>
      </w:r>
    </w:p>
    <w:p w14:paraId="6B567174" w14:textId="77777777" w:rsidR="0013115C" w:rsidRPr="00A83F84" w:rsidRDefault="00C10838" w:rsidP="00A83F84">
      <w:pPr>
        <w:pStyle w:val="ACLFooter"/>
        <w:rPr>
          <w:rFonts w:asciiTheme="minorHAnsi" w:hAnsiTheme="minorHAnsi" w:cs="Times New Roman"/>
          <w:sz w:val="20"/>
        </w:rPr>
      </w:pPr>
      <w:r w:rsidRPr="00A83F84">
        <w:rPr>
          <w:rFonts w:asciiTheme="minorHAnsi" w:hAnsiTheme="minorHAnsi" w:cs="Times New Roman"/>
          <w:sz w:val="20"/>
        </w:rPr>
        <w:t xml:space="preserve">Email: </w:t>
      </w:r>
      <w:hyperlink r:id="rId11" w:history="1">
        <w:r w:rsidRPr="00A83F84">
          <w:rPr>
            <w:rStyle w:val="Hyperlink"/>
            <w:rFonts w:asciiTheme="minorHAnsi" w:hAnsiTheme="minorHAnsi" w:cs="Times New Roman"/>
            <w:sz w:val="20"/>
          </w:rPr>
          <w:t>aclinfo@acl.hhs.gov</w:t>
        </w:r>
      </w:hyperlink>
    </w:p>
    <w:p w14:paraId="6E4B5916" w14:textId="77777777" w:rsidR="0013115C" w:rsidRPr="00A83F84" w:rsidRDefault="00C10838" w:rsidP="00A83F84">
      <w:pPr>
        <w:pStyle w:val="ACLFooter"/>
        <w:rPr>
          <w:rFonts w:asciiTheme="minorHAnsi" w:hAnsiTheme="minorHAnsi" w:cs="Times New Roman"/>
          <w:sz w:val="20"/>
        </w:rPr>
      </w:pPr>
      <w:r w:rsidRPr="00A83F84">
        <w:rPr>
          <w:rFonts w:asciiTheme="minorHAnsi" w:hAnsiTheme="minorHAnsi" w:cs="Times New Roman"/>
          <w:sz w:val="20"/>
        </w:rPr>
        <w:t xml:space="preserve">Website: </w:t>
      </w:r>
      <w:hyperlink r:id="rId12" w:history="1">
        <w:r w:rsidRPr="00A83F84">
          <w:rPr>
            <w:rStyle w:val="Hyperlink"/>
            <w:rFonts w:asciiTheme="minorHAnsi" w:hAnsiTheme="minorHAnsi" w:cs="Times New Roman"/>
            <w:sz w:val="20"/>
          </w:rPr>
          <w:t>http://acl.gov/</w:t>
        </w:r>
      </w:hyperlink>
    </w:p>
    <w:p w14:paraId="5BA59B33" w14:textId="77777777" w:rsidR="00EA06DF" w:rsidRPr="00A83F84" w:rsidRDefault="00EA06DF" w:rsidP="00A83F84">
      <w:pPr>
        <w:pStyle w:val="ACLFooter"/>
        <w:rPr>
          <w:rFonts w:asciiTheme="minorHAnsi" w:hAnsiTheme="minorHAnsi" w:cs="Times New Roman"/>
          <w:sz w:val="20"/>
        </w:rPr>
      </w:pPr>
      <w:r w:rsidRPr="00A83F84">
        <w:rPr>
          <w:rFonts w:asciiTheme="minorHAnsi" w:hAnsiTheme="minorHAnsi" w:cs="Times New Roman"/>
          <w:sz w:val="20"/>
        </w:rPr>
        <w:t xml:space="preserve">Facebook: </w:t>
      </w:r>
      <w:hyperlink r:id="rId13" w:history="1">
        <w:r w:rsidR="00BA4CE4" w:rsidRPr="00A83F84">
          <w:rPr>
            <w:rStyle w:val="Hyperlink"/>
            <w:rFonts w:asciiTheme="minorHAnsi" w:hAnsiTheme="minorHAnsi" w:cs="Times New Roman"/>
            <w:sz w:val="20"/>
          </w:rPr>
          <w:t>https://facebook.com/aclgov</w:t>
        </w:r>
      </w:hyperlink>
      <w:r w:rsidR="00BA4CE4" w:rsidRPr="00A83F84">
        <w:rPr>
          <w:rFonts w:asciiTheme="minorHAnsi" w:hAnsiTheme="minorHAnsi" w:cs="Times New Roman"/>
          <w:sz w:val="20"/>
        </w:rPr>
        <w:t xml:space="preserve"> </w:t>
      </w:r>
    </w:p>
    <w:p w14:paraId="7B3FD741" w14:textId="77777777" w:rsidR="00EA06DF" w:rsidRPr="00A83F84" w:rsidRDefault="00EA06DF" w:rsidP="00A83F84">
      <w:pPr>
        <w:pStyle w:val="ACLFooter"/>
        <w:rPr>
          <w:rFonts w:asciiTheme="minorHAnsi" w:hAnsiTheme="minorHAnsi" w:cs="Times New Roman"/>
          <w:sz w:val="20"/>
        </w:rPr>
      </w:pPr>
      <w:r w:rsidRPr="00A83F84">
        <w:rPr>
          <w:rFonts w:asciiTheme="minorHAnsi" w:hAnsiTheme="minorHAnsi" w:cs="Times New Roman"/>
          <w:sz w:val="20"/>
        </w:rPr>
        <w:t xml:space="preserve">Twitter: </w:t>
      </w:r>
      <w:hyperlink r:id="rId14" w:history="1">
        <w:r w:rsidR="00BA4CE4" w:rsidRPr="00A83F84">
          <w:rPr>
            <w:rStyle w:val="Hyperlink"/>
            <w:rFonts w:asciiTheme="minorHAnsi" w:hAnsiTheme="minorHAnsi" w:cs="Times New Roman"/>
            <w:sz w:val="20"/>
          </w:rPr>
          <w:t>https://twitter.com/aclgov</w:t>
        </w:r>
      </w:hyperlink>
      <w:r w:rsidR="00BA4CE4" w:rsidRPr="00A83F84">
        <w:rPr>
          <w:rFonts w:asciiTheme="minorHAnsi" w:hAnsiTheme="minorHAnsi" w:cs="Times New Roman"/>
          <w:sz w:val="20"/>
        </w:rPr>
        <w:t xml:space="preserve"> </w:t>
      </w:r>
    </w:p>
    <w:p w14:paraId="5B31CFBF" w14:textId="77777777" w:rsidR="00DC2B98" w:rsidRPr="00A83F84" w:rsidRDefault="00C10838" w:rsidP="00A83F84">
      <w:pPr>
        <w:pStyle w:val="ACLFooter"/>
        <w:rPr>
          <w:rFonts w:asciiTheme="minorHAnsi" w:hAnsiTheme="minorHAnsi" w:cs="Times New Roman"/>
          <w:sz w:val="20"/>
        </w:rPr>
      </w:pPr>
      <w:r w:rsidRPr="00A83F84">
        <w:rPr>
          <w:rFonts w:asciiTheme="minorHAnsi" w:hAnsiTheme="minorHAnsi" w:cs="Times New Roman"/>
          <w:sz w:val="20"/>
        </w:rPr>
        <w:t xml:space="preserve">Eldercare Locator: </w:t>
      </w:r>
      <w:hyperlink r:id="rId15" w:history="1">
        <w:r w:rsidRPr="00A83F84">
          <w:rPr>
            <w:rStyle w:val="Hyperlink"/>
            <w:rFonts w:asciiTheme="minorHAnsi" w:hAnsiTheme="minorHAnsi" w:cs="Times New Roman"/>
            <w:sz w:val="20"/>
          </w:rPr>
          <w:t>http://eldercare.gov</w:t>
        </w:r>
      </w:hyperlink>
    </w:p>
    <w:sectPr w:rsidR="00DC2B98" w:rsidRPr="00A83F84" w:rsidSect="00345537">
      <w:pgSz w:w="12240" w:h="15840"/>
      <w:pgMar w:top="2790" w:right="1008" w:bottom="1620" w:left="1008"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C8A5F" w14:textId="77777777" w:rsidR="000156D7" w:rsidRDefault="000156D7" w:rsidP="00C10838">
      <w:pPr>
        <w:spacing w:before="0" w:after="0"/>
      </w:pPr>
      <w:r>
        <w:separator/>
      </w:r>
    </w:p>
  </w:endnote>
  <w:endnote w:type="continuationSeparator" w:id="0">
    <w:p w14:paraId="4B28B3B4" w14:textId="77777777" w:rsidR="000156D7" w:rsidRDefault="000156D7" w:rsidP="00C108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AE16" w14:textId="77777777" w:rsidR="00A37D5E" w:rsidRPr="00A66CC8" w:rsidRDefault="00A66CC8" w:rsidP="00A66CC8">
    <w:pPr>
      <w:pStyle w:val="Footer"/>
    </w:pPr>
    <w:r w:rsidRPr="00A66CC8">
      <w:rPr>
        <w:noProof/>
        <w:lang w:bidi="ar-SA"/>
      </w:rPr>
      <w:drawing>
        <wp:anchor distT="0" distB="0" distL="114300" distR="114300" simplePos="0" relativeHeight="251665408" behindDoc="1" locked="0" layoutInCell="1" allowOverlap="1" wp14:anchorId="2CBA1BF4" wp14:editId="7ACF2E16">
          <wp:simplePos x="0" y="0"/>
          <wp:positionH relativeFrom="column">
            <wp:posOffset>-686435</wp:posOffset>
          </wp:positionH>
          <wp:positionV relativeFrom="paragraph">
            <wp:posOffset>-1028700</wp:posOffset>
          </wp:positionV>
          <wp:extent cx="7873365" cy="1382395"/>
          <wp:effectExtent l="19050" t="0" r="0" b="0"/>
          <wp:wrapNone/>
          <wp:docPr id="11" name="Picture 2" descr="Slide Templates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 Templates_Page_2.png"/>
                  <pic:cNvPicPr/>
                </pic:nvPicPr>
                <pic:blipFill>
                  <a:blip r:embed="rId1"/>
                  <a:stretch>
                    <a:fillRect/>
                  </a:stretch>
                </pic:blipFill>
                <pic:spPr>
                  <a:xfrm>
                    <a:off x="0" y="0"/>
                    <a:ext cx="7873365" cy="138239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D570" w14:textId="77777777" w:rsidR="00345537" w:rsidRDefault="00345537">
    <w:pPr>
      <w:pStyle w:val="Footer"/>
    </w:pPr>
    <w:r>
      <w:rPr>
        <w:noProof/>
        <w:lang w:bidi="ar-SA"/>
      </w:rPr>
      <w:drawing>
        <wp:anchor distT="0" distB="0" distL="114300" distR="114300" simplePos="0" relativeHeight="251663360" behindDoc="1" locked="0" layoutInCell="1" allowOverlap="1" wp14:anchorId="503893FF" wp14:editId="25928CAF">
          <wp:simplePos x="0" y="0"/>
          <wp:positionH relativeFrom="column">
            <wp:posOffset>-686435</wp:posOffset>
          </wp:positionH>
          <wp:positionV relativeFrom="paragraph">
            <wp:posOffset>-1029335</wp:posOffset>
          </wp:positionV>
          <wp:extent cx="7873365" cy="1383030"/>
          <wp:effectExtent l="19050" t="0" r="0" b="0"/>
          <wp:wrapNone/>
          <wp:docPr id="13" name="Picture 2" descr="Slide Templates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 Templates_Page_2.png"/>
                  <pic:cNvPicPr/>
                </pic:nvPicPr>
                <pic:blipFill>
                  <a:blip r:embed="rId1"/>
                  <a:stretch>
                    <a:fillRect/>
                  </a:stretch>
                </pic:blipFill>
                <pic:spPr>
                  <a:xfrm>
                    <a:off x="0" y="0"/>
                    <a:ext cx="7873365" cy="13830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7AAED" w14:textId="77777777" w:rsidR="000156D7" w:rsidRDefault="000156D7" w:rsidP="00C10838">
      <w:pPr>
        <w:spacing w:before="0" w:after="0"/>
      </w:pPr>
      <w:r>
        <w:separator/>
      </w:r>
    </w:p>
  </w:footnote>
  <w:footnote w:type="continuationSeparator" w:id="0">
    <w:p w14:paraId="29B8196D" w14:textId="77777777" w:rsidR="000156D7" w:rsidRDefault="000156D7" w:rsidP="00C108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84C1A" w14:textId="77777777" w:rsidR="00C10838" w:rsidRDefault="00C10838">
    <w:pPr>
      <w:pStyle w:val="Header"/>
    </w:pPr>
    <w:r w:rsidRPr="00C10838">
      <w:rPr>
        <w:noProof/>
        <w:lang w:bidi="ar-SA"/>
      </w:rPr>
      <w:drawing>
        <wp:anchor distT="0" distB="0" distL="114300" distR="114300" simplePos="0" relativeHeight="251659264" behindDoc="1" locked="0" layoutInCell="1" allowOverlap="1" wp14:anchorId="77362B5F" wp14:editId="742AE5AD">
          <wp:simplePos x="0" y="0"/>
          <wp:positionH relativeFrom="margin">
            <wp:posOffset>-914944</wp:posOffset>
          </wp:positionH>
          <wp:positionV relativeFrom="margin">
            <wp:posOffset>-1771650</wp:posOffset>
          </wp:positionV>
          <wp:extent cx="8330293" cy="751114"/>
          <wp:effectExtent l="19050" t="0" r="0" b="0"/>
          <wp:wrapNone/>
          <wp:docPr id="10" name="Picture 10" descr="Department of Health and Human Services Logo.&#10;Administration for Community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 Fact Sheet Header &amp; Footer (sw)1.12.jpg"/>
                  <pic:cNvPicPr/>
                </pic:nvPicPr>
                <pic:blipFill>
                  <a:blip r:embed="rId1">
                    <a:extLst>
                      <a:ext uri="{28A0092B-C50C-407E-A947-70E740481C1C}">
                        <a14:useLocalDpi xmlns:a14="http://schemas.microsoft.com/office/drawing/2010/main" val="0"/>
                      </a:ext>
                    </a:extLst>
                  </a:blip>
                  <a:srcRect t="48536" b="9601"/>
                  <a:stretch>
                    <a:fillRect/>
                  </a:stretch>
                </pic:blipFill>
                <pic:spPr>
                  <a:xfrm>
                    <a:off x="0" y="0"/>
                    <a:ext cx="8330293" cy="75111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2AD37" w14:textId="77777777" w:rsidR="00345537" w:rsidRDefault="00345537">
    <w:pPr>
      <w:pStyle w:val="Header"/>
    </w:pPr>
    <w:r w:rsidRPr="00345537">
      <w:rPr>
        <w:noProof/>
        <w:lang w:bidi="ar-SA"/>
      </w:rPr>
      <w:drawing>
        <wp:anchor distT="0" distB="0" distL="114300" distR="114300" simplePos="0" relativeHeight="251662336" behindDoc="0" locked="0" layoutInCell="1" allowOverlap="1" wp14:anchorId="79280903" wp14:editId="0FEE9E38">
          <wp:simplePos x="0" y="0"/>
          <wp:positionH relativeFrom="margin">
            <wp:posOffset>-914400</wp:posOffset>
          </wp:positionH>
          <wp:positionV relativeFrom="margin">
            <wp:posOffset>-1858645</wp:posOffset>
          </wp:positionV>
          <wp:extent cx="8329930" cy="1621790"/>
          <wp:effectExtent l="19050" t="0" r="0" b="0"/>
          <wp:wrapSquare wrapText="bothSides"/>
          <wp:docPr id="12" name="Picture 8" descr="Department of Health and Human Services Logo.&#10;Administration for Community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 Fact Sheet Header &amp; Footer (sw)1.12.jpg"/>
                  <pic:cNvPicPr/>
                </pic:nvPicPr>
                <pic:blipFill>
                  <a:blip r:embed="rId1">
                    <a:extLst>
                      <a:ext uri="{28A0092B-C50C-407E-A947-70E740481C1C}">
                        <a14:useLocalDpi xmlns:a14="http://schemas.microsoft.com/office/drawing/2010/main" val="0"/>
                      </a:ext>
                    </a:extLst>
                  </a:blip>
                  <a:srcRect b="9601"/>
                  <a:stretch>
                    <a:fillRect/>
                  </a:stretch>
                </pic:blipFill>
                <pic:spPr>
                  <a:xfrm>
                    <a:off x="0" y="0"/>
                    <a:ext cx="8329930" cy="162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0CD6"/>
    <w:multiLevelType w:val="hybridMultilevel"/>
    <w:tmpl w:val="6B2AB202"/>
    <w:lvl w:ilvl="0" w:tplc="8A06A8DC">
      <w:start w:val="1"/>
      <w:numFmt w:val="bullet"/>
      <w:pStyle w:val="Heading2"/>
      <w:lvlText w:val=""/>
      <w:lvlJc w:val="left"/>
      <w:pPr>
        <w:ind w:left="720" w:hanging="360"/>
      </w:pPr>
      <w:rPr>
        <w:rFonts w:ascii="Wingdings" w:hAnsi="Wingdings" w:hint="default"/>
        <w:color w:val="1F497D" w:themeColor="text2"/>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38"/>
    <w:rsid w:val="00006C91"/>
    <w:rsid w:val="00006F62"/>
    <w:rsid w:val="000156D7"/>
    <w:rsid w:val="000426D7"/>
    <w:rsid w:val="000465E9"/>
    <w:rsid w:val="000524C0"/>
    <w:rsid w:val="00065015"/>
    <w:rsid w:val="000963E8"/>
    <w:rsid w:val="000A5699"/>
    <w:rsid w:val="000C52E5"/>
    <w:rsid w:val="000E1E56"/>
    <w:rsid w:val="001035AC"/>
    <w:rsid w:val="0013115C"/>
    <w:rsid w:val="0013145E"/>
    <w:rsid w:val="001365CA"/>
    <w:rsid w:val="00153D73"/>
    <w:rsid w:val="0016325F"/>
    <w:rsid w:val="0016463B"/>
    <w:rsid w:val="001761D3"/>
    <w:rsid w:val="0019014C"/>
    <w:rsid w:val="001A075A"/>
    <w:rsid w:val="001A6134"/>
    <w:rsid w:val="001A6605"/>
    <w:rsid w:val="001D02E0"/>
    <w:rsid w:val="00205D7D"/>
    <w:rsid w:val="0021470A"/>
    <w:rsid w:val="00214C2B"/>
    <w:rsid w:val="00217C36"/>
    <w:rsid w:val="00276108"/>
    <w:rsid w:val="00277983"/>
    <w:rsid w:val="00290060"/>
    <w:rsid w:val="002E29A0"/>
    <w:rsid w:val="002F623A"/>
    <w:rsid w:val="00323E96"/>
    <w:rsid w:val="00332CF4"/>
    <w:rsid w:val="00345537"/>
    <w:rsid w:val="003526F8"/>
    <w:rsid w:val="00352D4B"/>
    <w:rsid w:val="00371CB5"/>
    <w:rsid w:val="003B08D9"/>
    <w:rsid w:val="003B40B4"/>
    <w:rsid w:val="003D6BE6"/>
    <w:rsid w:val="00413762"/>
    <w:rsid w:val="00413BCB"/>
    <w:rsid w:val="004419EE"/>
    <w:rsid w:val="00447B61"/>
    <w:rsid w:val="004B49C0"/>
    <w:rsid w:val="004B512B"/>
    <w:rsid w:val="004B68DC"/>
    <w:rsid w:val="004B7E3C"/>
    <w:rsid w:val="004E4B82"/>
    <w:rsid w:val="004E5332"/>
    <w:rsid w:val="00516C1F"/>
    <w:rsid w:val="005245EC"/>
    <w:rsid w:val="00577B31"/>
    <w:rsid w:val="00580B6D"/>
    <w:rsid w:val="00592D25"/>
    <w:rsid w:val="00594B05"/>
    <w:rsid w:val="005C7F1D"/>
    <w:rsid w:val="005E6639"/>
    <w:rsid w:val="005E7279"/>
    <w:rsid w:val="00612400"/>
    <w:rsid w:val="00654CBB"/>
    <w:rsid w:val="00654D24"/>
    <w:rsid w:val="00672408"/>
    <w:rsid w:val="006968AC"/>
    <w:rsid w:val="006A1013"/>
    <w:rsid w:val="006B4849"/>
    <w:rsid w:val="006C1AA3"/>
    <w:rsid w:val="006F55E7"/>
    <w:rsid w:val="00700631"/>
    <w:rsid w:val="00716D7D"/>
    <w:rsid w:val="007171CD"/>
    <w:rsid w:val="0072591B"/>
    <w:rsid w:val="007B20C8"/>
    <w:rsid w:val="007D463B"/>
    <w:rsid w:val="007F0E1A"/>
    <w:rsid w:val="007F4A5A"/>
    <w:rsid w:val="008071AF"/>
    <w:rsid w:val="008244B9"/>
    <w:rsid w:val="00833D90"/>
    <w:rsid w:val="008C484F"/>
    <w:rsid w:val="008D7253"/>
    <w:rsid w:val="008E401C"/>
    <w:rsid w:val="008E7D1A"/>
    <w:rsid w:val="00954169"/>
    <w:rsid w:val="00976E39"/>
    <w:rsid w:val="009B49CE"/>
    <w:rsid w:val="009E1E29"/>
    <w:rsid w:val="009F1AB1"/>
    <w:rsid w:val="00A37D5E"/>
    <w:rsid w:val="00A4706C"/>
    <w:rsid w:val="00A472CB"/>
    <w:rsid w:val="00A66753"/>
    <w:rsid w:val="00A66CC8"/>
    <w:rsid w:val="00A83F84"/>
    <w:rsid w:val="00AB158D"/>
    <w:rsid w:val="00AC1105"/>
    <w:rsid w:val="00AE4777"/>
    <w:rsid w:val="00AE68A5"/>
    <w:rsid w:val="00AF1BA3"/>
    <w:rsid w:val="00B26F75"/>
    <w:rsid w:val="00B44B55"/>
    <w:rsid w:val="00B52318"/>
    <w:rsid w:val="00BA17DD"/>
    <w:rsid w:val="00BA4CE4"/>
    <w:rsid w:val="00BB2D48"/>
    <w:rsid w:val="00BD4164"/>
    <w:rsid w:val="00BF057A"/>
    <w:rsid w:val="00C10838"/>
    <w:rsid w:val="00C407FD"/>
    <w:rsid w:val="00C533B6"/>
    <w:rsid w:val="00C64711"/>
    <w:rsid w:val="00C70581"/>
    <w:rsid w:val="00C7554F"/>
    <w:rsid w:val="00C90CFD"/>
    <w:rsid w:val="00CA6B0B"/>
    <w:rsid w:val="00CD3A73"/>
    <w:rsid w:val="00D01EA4"/>
    <w:rsid w:val="00D10A9B"/>
    <w:rsid w:val="00D70C1A"/>
    <w:rsid w:val="00D73F01"/>
    <w:rsid w:val="00DA05F5"/>
    <w:rsid w:val="00DA152E"/>
    <w:rsid w:val="00DA3DB8"/>
    <w:rsid w:val="00DA77C4"/>
    <w:rsid w:val="00DB5B2D"/>
    <w:rsid w:val="00DC2B98"/>
    <w:rsid w:val="00DE3752"/>
    <w:rsid w:val="00DF1DE5"/>
    <w:rsid w:val="00E42504"/>
    <w:rsid w:val="00E51869"/>
    <w:rsid w:val="00E614E7"/>
    <w:rsid w:val="00E6650E"/>
    <w:rsid w:val="00E86ED0"/>
    <w:rsid w:val="00E8725A"/>
    <w:rsid w:val="00EA06DF"/>
    <w:rsid w:val="00ED20EE"/>
    <w:rsid w:val="00EE272C"/>
    <w:rsid w:val="00F01CFE"/>
    <w:rsid w:val="00F07233"/>
    <w:rsid w:val="00F20250"/>
    <w:rsid w:val="00F264A8"/>
    <w:rsid w:val="00F34C9E"/>
    <w:rsid w:val="00F3643F"/>
    <w:rsid w:val="00F53987"/>
    <w:rsid w:val="00F962B4"/>
    <w:rsid w:val="00FC3A18"/>
    <w:rsid w:val="00FC6709"/>
    <w:rsid w:val="00FF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AAF7FA"/>
  <w15:docId w15:val="{3BBFA055-121A-4F82-8CFE-FE997D7A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D73"/>
    <w:pPr>
      <w:spacing w:before="120" w:after="240" w:line="240" w:lineRule="auto"/>
    </w:pPr>
    <w:rPr>
      <w:szCs w:val="20"/>
    </w:rPr>
  </w:style>
  <w:style w:type="paragraph" w:styleId="Heading1">
    <w:name w:val="heading 1"/>
    <w:basedOn w:val="NoSpacing"/>
    <w:next w:val="Normal"/>
    <w:link w:val="Heading1Char"/>
    <w:uiPriority w:val="9"/>
    <w:qFormat/>
    <w:rsid w:val="00C10838"/>
    <w:pPr>
      <w:spacing w:before="120"/>
      <w:outlineLvl w:val="0"/>
    </w:pPr>
    <w:rPr>
      <w:b/>
      <w:color w:val="09528F"/>
    </w:rPr>
  </w:style>
  <w:style w:type="paragraph" w:styleId="Heading2">
    <w:name w:val="heading 2"/>
    <w:basedOn w:val="NoSpacing"/>
    <w:next w:val="Normal"/>
    <w:link w:val="Heading2Char"/>
    <w:uiPriority w:val="9"/>
    <w:unhideWhenUsed/>
    <w:qFormat/>
    <w:rsid w:val="00C10838"/>
    <w:pPr>
      <w:numPr>
        <w:numId w:val="1"/>
      </w:numPr>
      <w:ind w:left="450" w:hanging="270"/>
      <w:outlineLvl w:val="1"/>
    </w:pPr>
    <w:rPr>
      <w:rFonts w:cs="Times New Roman"/>
      <w:b/>
      <w:color w:val="09528F"/>
      <w:szCs w:val="22"/>
    </w:rPr>
  </w:style>
  <w:style w:type="paragraph" w:styleId="Heading3">
    <w:name w:val="heading 3"/>
    <w:basedOn w:val="Normal"/>
    <w:next w:val="Normal"/>
    <w:link w:val="Heading3Char"/>
    <w:uiPriority w:val="9"/>
    <w:semiHidden/>
    <w:unhideWhenUsed/>
    <w:qFormat/>
    <w:rsid w:val="00580B6D"/>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580B6D"/>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580B6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80B6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838"/>
    <w:rPr>
      <w:b/>
      <w:color w:val="09528F"/>
      <w:szCs w:val="20"/>
    </w:rPr>
  </w:style>
  <w:style w:type="character" w:customStyle="1" w:styleId="Heading2Char">
    <w:name w:val="Heading 2 Char"/>
    <w:basedOn w:val="DefaultParagraphFont"/>
    <w:link w:val="Heading2"/>
    <w:uiPriority w:val="9"/>
    <w:rsid w:val="00C10838"/>
    <w:rPr>
      <w:rFonts w:cs="Times New Roman"/>
      <w:b/>
      <w:color w:val="09528F"/>
    </w:rPr>
  </w:style>
  <w:style w:type="character" w:customStyle="1" w:styleId="Heading3Char">
    <w:name w:val="Heading 3 Char"/>
    <w:basedOn w:val="DefaultParagraphFont"/>
    <w:link w:val="Heading3"/>
    <w:uiPriority w:val="9"/>
    <w:semiHidden/>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rPr>
      <w:b/>
      <w:bCs/>
      <w:color w:val="365F91" w:themeColor="accent1" w:themeShade="BF"/>
      <w:sz w:val="16"/>
      <w:szCs w:val="16"/>
    </w:rPr>
  </w:style>
  <w:style w:type="paragraph" w:styleId="Title">
    <w:name w:val="Title"/>
    <w:basedOn w:val="Normal"/>
    <w:next w:val="Normal"/>
    <w:link w:val="TitleChar"/>
    <w:uiPriority w:val="10"/>
    <w:qFormat/>
    <w:rsid w:val="00C10838"/>
    <w:pPr>
      <w:spacing w:before="240"/>
    </w:pPr>
    <w:rPr>
      <w:b/>
      <w:color w:val="BE1E2D"/>
      <w:spacing w:val="10"/>
      <w:kern w:val="28"/>
      <w:sz w:val="40"/>
      <w:szCs w:val="52"/>
    </w:rPr>
  </w:style>
  <w:style w:type="character" w:customStyle="1" w:styleId="TitleChar">
    <w:name w:val="Title Char"/>
    <w:basedOn w:val="DefaultParagraphFont"/>
    <w:link w:val="Title"/>
    <w:uiPriority w:val="10"/>
    <w:rsid w:val="00C10838"/>
    <w:rPr>
      <w:b/>
      <w:color w:val="BE1E2D"/>
      <w:spacing w:val="10"/>
      <w:kern w:val="28"/>
      <w:sz w:val="40"/>
      <w:szCs w:val="52"/>
    </w:rPr>
  </w:style>
  <w:style w:type="paragraph" w:styleId="Subtitle">
    <w:name w:val="Subtitle"/>
    <w:basedOn w:val="Normal"/>
    <w:next w:val="Normal"/>
    <w:link w:val="SubtitleChar"/>
    <w:uiPriority w:val="11"/>
    <w:qFormat/>
    <w:rsid w:val="00580B6D"/>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pPr>
      <w:spacing w:before="0" w:after="0"/>
    </w:p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rmal"/>
    <w:link w:val="ListParagraphChar"/>
    <w:uiPriority w:val="34"/>
    <w:qFormat/>
    <w:rsid w:val="00580B6D"/>
    <w:pPr>
      <w:ind w:left="720"/>
      <w:contextualSpacing/>
    </w:pPr>
  </w:style>
  <w:style w:type="paragraph" w:styleId="Quote">
    <w:name w:val="Quote"/>
    <w:basedOn w:val="Normal"/>
    <w:next w:val="Normal"/>
    <w:link w:val="QuoteChar"/>
    <w:uiPriority w:val="29"/>
    <w:qFormat/>
    <w:rsid w:val="00580B6D"/>
    <w:rPr>
      <w:i/>
      <w:iC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paragraph" w:styleId="Header">
    <w:name w:val="header"/>
    <w:basedOn w:val="Normal"/>
    <w:link w:val="HeaderChar"/>
    <w:rsid w:val="00C10838"/>
    <w:pPr>
      <w:tabs>
        <w:tab w:val="center" w:pos="4680"/>
        <w:tab w:val="right" w:pos="9360"/>
      </w:tabs>
      <w:spacing w:before="0" w:after="0"/>
    </w:pPr>
  </w:style>
  <w:style w:type="character" w:customStyle="1" w:styleId="HeaderChar">
    <w:name w:val="Header Char"/>
    <w:basedOn w:val="DefaultParagraphFont"/>
    <w:link w:val="Header"/>
    <w:rsid w:val="00C10838"/>
    <w:rPr>
      <w:sz w:val="20"/>
      <w:szCs w:val="20"/>
    </w:rPr>
  </w:style>
  <w:style w:type="paragraph" w:styleId="Footer">
    <w:name w:val="footer"/>
    <w:basedOn w:val="Normal"/>
    <w:link w:val="FooterChar"/>
    <w:rsid w:val="00C10838"/>
    <w:pPr>
      <w:tabs>
        <w:tab w:val="center" w:pos="4680"/>
        <w:tab w:val="right" w:pos="9360"/>
      </w:tabs>
      <w:spacing w:before="0" w:after="0"/>
    </w:pPr>
  </w:style>
  <w:style w:type="character" w:customStyle="1" w:styleId="FooterChar">
    <w:name w:val="Footer Char"/>
    <w:basedOn w:val="DefaultParagraphFont"/>
    <w:link w:val="Footer"/>
    <w:rsid w:val="00C10838"/>
    <w:rPr>
      <w:sz w:val="20"/>
      <w:szCs w:val="20"/>
    </w:rPr>
  </w:style>
  <w:style w:type="character" w:styleId="Hyperlink">
    <w:name w:val="Hyperlink"/>
    <w:basedOn w:val="DefaultParagraphFont"/>
    <w:uiPriority w:val="99"/>
    <w:unhideWhenUsed/>
    <w:rsid w:val="00C10838"/>
    <w:rPr>
      <w:color w:val="0000FF" w:themeColor="hyperlink"/>
      <w:u w:val="single"/>
    </w:rPr>
  </w:style>
  <w:style w:type="paragraph" w:customStyle="1" w:styleId="ACLFooter">
    <w:name w:val="ACL Footer"/>
    <w:basedOn w:val="Normal"/>
    <w:qFormat/>
    <w:rsid w:val="00C10838"/>
    <w:pPr>
      <w:spacing w:before="0" w:after="0"/>
    </w:pPr>
    <w:rPr>
      <w:rFonts w:ascii="Times New Roman" w:eastAsiaTheme="minorEastAsia" w:hAnsi="Times New Roman"/>
      <w:color w:val="000000" w:themeColor="text1"/>
      <w:lang w:bidi="ar-SA"/>
    </w:rPr>
  </w:style>
  <w:style w:type="paragraph" w:customStyle="1" w:styleId="Default">
    <w:name w:val="Default"/>
    <w:rsid w:val="00C10838"/>
    <w:pPr>
      <w:autoSpaceDE w:val="0"/>
      <w:autoSpaceDN w:val="0"/>
      <w:adjustRightInd w:val="0"/>
      <w:spacing w:before="0" w:after="0" w:line="240" w:lineRule="auto"/>
    </w:pPr>
    <w:rPr>
      <w:rFonts w:ascii="Times New Roman" w:eastAsiaTheme="minorEastAsia" w:hAnsi="Times New Roman" w:cs="Times New Roman"/>
      <w:color w:val="000000"/>
      <w:sz w:val="24"/>
      <w:szCs w:val="24"/>
      <w:lang w:bidi="ar-SA"/>
    </w:rPr>
  </w:style>
  <w:style w:type="paragraph" w:styleId="BalloonText">
    <w:name w:val="Balloon Text"/>
    <w:basedOn w:val="Normal"/>
    <w:link w:val="BalloonTextChar"/>
    <w:rsid w:val="00F539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F53987"/>
    <w:rPr>
      <w:rFonts w:ascii="Tahoma" w:hAnsi="Tahoma" w:cs="Tahoma"/>
      <w:sz w:val="16"/>
      <w:szCs w:val="16"/>
    </w:rPr>
  </w:style>
  <w:style w:type="character" w:styleId="CommentReference">
    <w:name w:val="annotation reference"/>
    <w:basedOn w:val="DefaultParagraphFont"/>
    <w:rsid w:val="001761D3"/>
    <w:rPr>
      <w:sz w:val="16"/>
      <w:szCs w:val="16"/>
    </w:rPr>
  </w:style>
  <w:style w:type="paragraph" w:styleId="CommentText">
    <w:name w:val="annotation text"/>
    <w:basedOn w:val="Normal"/>
    <w:link w:val="CommentTextChar"/>
    <w:rsid w:val="001761D3"/>
    <w:rPr>
      <w:sz w:val="20"/>
    </w:rPr>
  </w:style>
  <w:style w:type="character" w:customStyle="1" w:styleId="CommentTextChar">
    <w:name w:val="Comment Text Char"/>
    <w:basedOn w:val="DefaultParagraphFont"/>
    <w:link w:val="CommentText"/>
    <w:rsid w:val="001761D3"/>
    <w:rPr>
      <w:sz w:val="20"/>
      <w:szCs w:val="20"/>
    </w:rPr>
  </w:style>
  <w:style w:type="paragraph" w:styleId="CommentSubject">
    <w:name w:val="annotation subject"/>
    <w:basedOn w:val="CommentText"/>
    <w:next w:val="CommentText"/>
    <w:link w:val="CommentSubjectChar"/>
    <w:rsid w:val="001761D3"/>
    <w:rPr>
      <w:b/>
      <w:bCs/>
    </w:rPr>
  </w:style>
  <w:style w:type="character" w:customStyle="1" w:styleId="CommentSubjectChar">
    <w:name w:val="Comment Subject Char"/>
    <w:basedOn w:val="CommentTextChar"/>
    <w:link w:val="CommentSubject"/>
    <w:rsid w:val="001761D3"/>
    <w:rPr>
      <w:b/>
      <w:bCs/>
      <w:sz w:val="20"/>
      <w:szCs w:val="20"/>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4B7E3C"/>
    <w:rPr>
      <w:szCs w:val="20"/>
    </w:rPr>
  </w:style>
  <w:style w:type="paragraph" w:styleId="NormalWeb">
    <w:name w:val="Normal (Web)"/>
    <w:basedOn w:val="Normal"/>
    <w:uiPriority w:val="99"/>
    <w:unhideWhenUsed/>
    <w:rsid w:val="004B7E3C"/>
    <w:pPr>
      <w:spacing w:before="100" w:beforeAutospacing="1" w:after="100" w:afterAutospacing="1"/>
    </w:pPr>
    <w:rPr>
      <w:rFonts w:ascii="Times New Roman" w:eastAsia="Times New Roman" w:hAnsi="Times New Roman" w:cs="Times New Roman"/>
      <w:sz w:val="24"/>
      <w:szCs w:val="24"/>
      <w:lang w:bidi="ar-SA"/>
    </w:rPr>
  </w:style>
  <w:style w:type="paragraph" w:styleId="PlainText">
    <w:name w:val="Plain Text"/>
    <w:basedOn w:val="Normal"/>
    <w:link w:val="PlainTextChar"/>
    <w:uiPriority w:val="99"/>
    <w:unhideWhenUsed/>
    <w:rsid w:val="004B7E3C"/>
    <w:pPr>
      <w:spacing w:before="0" w:after="0"/>
    </w:pPr>
    <w:rPr>
      <w:rFonts w:ascii="Calibri" w:hAnsi="Calibri"/>
      <w:szCs w:val="21"/>
      <w:lang w:bidi="ar-SA"/>
    </w:rPr>
  </w:style>
  <w:style w:type="character" w:customStyle="1" w:styleId="PlainTextChar">
    <w:name w:val="Plain Text Char"/>
    <w:basedOn w:val="DefaultParagraphFont"/>
    <w:link w:val="PlainText"/>
    <w:uiPriority w:val="99"/>
    <w:rsid w:val="004B7E3C"/>
    <w:rPr>
      <w:rFonts w:ascii="Calibri" w:hAnsi="Calibri"/>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acebook.com/acl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cl.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linfo@acl.hhs.gov" TargetMode="External"/><Relationship Id="rId5" Type="http://schemas.openxmlformats.org/officeDocument/2006/relationships/footnotes" Target="footnotes.xml"/><Relationship Id="rId15" Type="http://schemas.openxmlformats.org/officeDocument/2006/relationships/hyperlink" Target="http://eldercare.gov"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acl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Betah Associates</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Edgar</dc:creator>
  <cp:lastModifiedBy>Phillips, Christine (ACL)</cp:lastModifiedBy>
  <cp:revision>2</cp:revision>
  <cp:lastPrinted>2017-12-13T17:01:00Z</cp:lastPrinted>
  <dcterms:created xsi:type="dcterms:W3CDTF">2022-04-19T14:24:00Z</dcterms:created>
  <dcterms:modified xsi:type="dcterms:W3CDTF">2022-04-19T14:24:00Z</dcterms:modified>
</cp:coreProperties>
</file>