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6D39" w14:textId="77777777" w:rsidR="00134B3D" w:rsidRDefault="00134B3D" w:rsidP="00134B3D">
      <w:pPr>
        <w:ind w:left="-1440" w:right="-1440"/>
      </w:pPr>
      <w:r>
        <w:rPr>
          <w:noProof/>
        </w:rPr>
        <w:drawing>
          <wp:inline distT="0" distB="0" distL="0" distR="0" wp14:anchorId="1C4F6133" wp14:editId="017D7007">
            <wp:extent cx="7787640" cy="3480310"/>
            <wp:effectExtent l="0" t="0" r="3810" b="6350"/>
            <wp:docPr id="3" name="Picture 3" descr="Administration for Community Living Innovations in Nutrition Programs and Services Capstone Series&#10;Organization: Erie County Department of Senior Services&#10;The Albany County Department for Aging (ACDFA) and Erie County Department of Senior Services (ECDRS) Will Initiate a Technology Driven Congregate Dining Program Including a Restaurant Dining Program to Current Service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ministration for Community Living Innovations in Nutrition Programs and Services Capstone Series&#10;Organization: Erie County Department of Senior Services&#10;The Albany County Department for Aging (ACDFA) and Erie County Department of Senior Services (ECDRS) Will Initiate a Technology Driven Congregate Dining Program Including a Restaurant Dining Program to Current Service Models."/>
                    <pic:cNvPicPr/>
                  </pic:nvPicPr>
                  <pic:blipFill>
                    <a:blip r:embed="rId7">
                      <a:extLst>
                        <a:ext uri="{28A0092B-C50C-407E-A947-70E740481C1C}">
                          <a14:useLocalDpi xmlns:a14="http://schemas.microsoft.com/office/drawing/2010/main" val="0"/>
                        </a:ext>
                      </a:extLst>
                    </a:blip>
                    <a:stretch>
                      <a:fillRect/>
                    </a:stretch>
                  </pic:blipFill>
                  <pic:spPr>
                    <a:xfrm>
                      <a:off x="0" y="0"/>
                      <a:ext cx="7787640" cy="3480310"/>
                    </a:xfrm>
                    <a:prstGeom prst="rect">
                      <a:avLst/>
                    </a:prstGeom>
                  </pic:spPr>
                </pic:pic>
              </a:graphicData>
            </a:graphic>
          </wp:inline>
        </w:drawing>
      </w:r>
    </w:p>
    <w:p w14:paraId="31197C66" w14:textId="77777777" w:rsidR="00386045" w:rsidRPr="0062179C" w:rsidRDefault="00386045" w:rsidP="00C9000F">
      <w:pPr>
        <w:pStyle w:val="Heading1"/>
        <w:jc w:val="center"/>
      </w:pPr>
      <w:r>
        <w:t>SCHEDULE</w:t>
      </w:r>
      <w:r w:rsidRPr="0062179C">
        <w:t xml:space="preserve"> E</w:t>
      </w:r>
      <w:r>
        <w:t>-</w:t>
      </w:r>
      <w:r w:rsidRPr="0062179C">
        <w:t>Remuneration Schedule</w:t>
      </w:r>
    </w:p>
    <w:p w14:paraId="39C611E6" w14:textId="15069DFE" w:rsidR="00386045" w:rsidRPr="003C59C2" w:rsidRDefault="003C59C2" w:rsidP="003C59C2">
      <w:pPr>
        <w:rPr>
          <w:color w:val="FFFFFF" w:themeColor="background1"/>
          <w:sz w:val="10"/>
          <w:szCs w:val="10"/>
        </w:rPr>
      </w:pPr>
      <w:r w:rsidRPr="003C59C2">
        <w:rPr>
          <w:color w:val="FFFFFF" w:themeColor="background1"/>
          <w:sz w:val="10"/>
          <w:szCs w:val="10"/>
        </w:rPr>
        <w:t>Administration for Community Living Innovations in Nutrition Programs and Services Capstone Series</w:t>
      </w:r>
      <w:r w:rsidRPr="003C59C2">
        <w:rPr>
          <w:color w:val="FFFFFF" w:themeColor="background1"/>
          <w:sz w:val="10"/>
          <w:szCs w:val="10"/>
        </w:rPr>
        <w:t xml:space="preserve">. </w:t>
      </w:r>
      <w:r w:rsidRPr="003C59C2">
        <w:rPr>
          <w:color w:val="FFFFFF" w:themeColor="background1"/>
          <w:sz w:val="10"/>
          <w:szCs w:val="10"/>
        </w:rPr>
        <w:t>Organization: Erie County Department of Senior Services</w:t>
      </w:r>
      <w:r w:rsidRPr="003C59C2">
        <w:rPr>
          <w:color w:val="FFFFFF" w:themeColor="background1"/>
          <w:sz w:val="10"/>
          <w:szCs w:val="10"/>
        </w:rPr>
        <w:t xml:space="preserve">. </w:t>
      </w:r>
      <w:r w:rsidRPr="003C59C2">
        <w:rPr>
          <w:color w:val="FFFFFF" w:themeColor="background1"/>
          <w:sz w:val="10"/>
          <w:szCs w:val="10"/>
        </w:rPr>
        <w:t>The Albany County Department for Aging (ACDFA) and Erie County Department of Senior Services (ECDRS) Will Initiate a Technology Driven Congregate Dining Program Including a Restaurant Dining Program to Current Service Models.</w:t>
      </w:r>
    </w:p>
    <w:p w14:paraId="7EA96AE9" w14:textId="77777777" w:rsidR="00386045" w:rsidRDefault="00386045" w:rsidP="00C9000F">
      <w:pPr>
        <w:pStyle w:val="Heading1"/>
        <w:jc w:val="center"/>
      </w:pPr>
      <w:r>
        <w:t>Restaurant Dining Program</w:t>
      </w:r>
    </w:p>
    <w:p w14:paraId="44775BFD" w14:textId="7B4EABA1" w:rsidR="00386045" w:rsidRPr="0062179C" w:rsidRDefault="00386045" w:rsidP="00C9000F">
      <w:pPr>
        <w:pStyle w:val="Heading1"/>
        <w:jc w:val="center"/>
      </w:pPr>
      <w:r>
        <w:t>Go &amp; Dine</w:t>
      </w:r>
    </w:p>
    <w:p w14:paraId="3210CFC1" w14:textId="77777777" w:rsidR="00386045" w:rsidRPr="0062179C" w:rsidRDefault="00386045" w:rsidP="00386045">
      <w:pPr>
        <w:rPr>
          <w:rFonts w:ascii="Times New Roman" w:hAnsi="Times New Roman"/>
          <w:sz w:val="24"/>
        </w:rPr>
      </w:pPr>
    </w:p>
    <w:p w14:paraId="49FEE698" w14:textId="77777777" w:rsidR="00386045" w:rsidRDefault="00386045" w:rsidP="00386045">
      <w:pPr>
        <w:rPr>
          <w:rFonts w:ascii="Times New Roman" w:hAnsi="Times New Roman"/>
          <w:sz w:val="24"/>
        </w:rPr>
      </w:pPr>
      <w:r w:rsidRPr="0062179C">
        <w:rPr>
          <w:rFonts w:ascii="Times New Roman" w:hAnsi="Times New Roman"/>
          <w:sz w:val="24"/>
        </w:rPr>
        <w:t xml:space="preserve">It is understood by both parties that the County of Erie shall not be obligated in any way to </w:t>
      </w:r>
      <w:r>
        <w:rPr>
          <w:rFonts w:ascii="Times New Roman" w:hAnsi="Times New Roman"/>
          <w:sz w:val="24"/>
        </w:rPr>
        <w:t xml:space="preserve">utilize the </w:t>
      </w:r>
      <w:r w:rsidRPr="0062179C">
        <w:rPr>
          <w:rFonts w:ascii="Times New Roman" w:hAnsi="Times New Roman"/>
          <w:sz w:val="24"/>
        </w:rPr>
        <w:t>services of the Agency at any time during the term of this agreement.</w:t>
      </w:r>
    </w:p>
    <w:p w14:paraId="52E139FF" w14:textId="77777777" w:rsidR="00386045" w:rsidRPr="0062179C" w:rsidRDefault="00386045" w:rsidP="00386045">
      <w:pPr>
        <w:rPr>
          <w:rFonts w:ascii="Times New Roman" w:hAnsi="Times New Roman"/>
          <w:sz w:val="24"/>
        </w:rPr>
      </w:pPr>
    </w:p>
    <w:p w14:paraId="257AD13E" w14:textId="77777777" w:rsidR="00386045" w:rsidRDefault="00386045" w:rsidP="00386045">
      <w:pPr>
        <w:rPr>
          <w:rFonts w:ascii="Times New Roman" w:hAnsi="Times New Roman"/>
          <w:sz w:val="24"/>
        </w:rPr>
      </w:pPr>
      <w:r w:rsidRPr="0062179C">
        <w:rPr>
          <w:rFonts w:ascii="Times New Roman" w:hAnsi="Times New Roman"/>
          <w:sz w:val="24"/>
        </w:rPr>
        <w:t xml:space="preserve">If the County utilizes the services of the Agency during the term </w:t>
      </w:r>
      <w:r>
        <w:rPr>
          <w:rFonts w:ascii="Times New Roman" w:hAnsi="Times New Roman"/>
          <w:sz w:val="24"/>
        </w:rPr>
        <w:t xml:space="preserve">of this agreement, all payments </w:t>
      </w:r>
      <w:r w:rsidRPr="0062179C">
        <w:rPr>
          <w:rFonts w:ascii="Times New Roman" w:hAnsi="Times New Roman"/>
          <w:sz w:val="24"/>
        </w:rPr>
        <w:t xml:space="preserve">shall be based on the </w:t>
      </w:r>
      <w:r>
        <w:rPr>
          <w:rFonts w:ascii="Times New Roman" w:hAnsi="Times New Roman"/>
          <w:sz w:val="24"/>
        </w:rPr>
        <w:t>per meal rate as agreed upon by County and Agency.</w:t>
      </w:r>
    </w:p>
    <w:p w14:paraId="73B9F6AF" w14:textId="77777777" w:rsidR="00386045" w:rsidRDefault="00386045" w:rsidP="00386045">
      <w:pPr>
        <w:rPr>
          <w:rFonts w:ascii="Times New Roman" w:hAnsi="Times New Roman"/>
          <w:sz w:val="24"/>
        </w:rPr>
      </w:pPr>
    </w:p>
    <w:p w14:paraId="40399C7F" w14:textId="77777777" w:rsidR="00386045" w:rsidRPr="008B4299" w:rsidRDefault="00386045" w:rsidP="00386045">
      <w:pPr>
        <w:rPr>
          <w:rFonts w:ascii="Times New Roman" w:hAnsi="Times New Roman"/>
          <w:b/>
          <w:sz w:val="24"/>
        </w:rPr>
      </w:pPr>
      <w:r w:rsidRPr="008B4299">
        <w:rPr>
          <w:rFonts w:ascii="Times New Roman" w:hAnsi="Times New Roman"/>
          <w:b/>
          <w:sz w:val="24"/>
        </w:rPr>
        <w:t xml:space="preserve">Agency will be paid </w:t>
      </w:r>
      <w:r w:rsidRPr="008B4299">
        <w:rPr>
          <w:rFonts w:ascii="Times New Roman" w:hAnsi="Times New Roman"/>
          <w:b/>
          <w:sz w:val="24"/>
          <w:u w:val="single"/>
        </w:rPr>
        <w:t>$</w:t>
      </w:r>
      <w:r>
        <w:rPr>
          <w:rFonts w:ascii="Times New Roman" w:hAnsi="Times New Roman"/>
          <w:b/>
          <w:sz w:val="24"/>
          <w:u w:val="single"/>
        </w:rPr>
        <w:t xml:space="preserve">10 </w:t>
      </w:r>
      <w:r w:rsidRPr="008B4299">
        <w:rPr>
          <w:rFonts w:ascii="Times New Roman" w:hAnsi="Times New Roman"/>
          <w:b/>
          <w:sz w:val="24"/>
          <w:u w:val="single"/>
        </w:rPr>
        <w:t xml:space="preserve">per </w:t>
      </w:r>
      <w:r>
        <w:rPr>
          <w:rFonts w:ascii="Times New Roman" w:hAnsi="Times New Roman"/>
          <w:b/>
          <w:sz w:val="24"/>
          <w:u w:val="single"/>
        </w:rPr>
        <w:t xml:space="preserve">Breakfast </w:t>
      </w:r>
      <w:r w:rsidRPr="008B4299">
        <w:rPr>
          <w:rFonts w:ascii="Times New Roman" w:hAnsi="Times New Roman"/>
          <w:b/>
          <w:sz w:val="24"/>
          <w:u w:val="single"/>
        </w:rPr>
        <w:t>meal served</w:t>
      </w:r>
      <w:r>
        <w:rPr>
          <w:rFonts w:ascii="Times New Roman" w:hAnsi="Times New Roman"/>
          <w:b/>
          <w:sz w:val="24"/>
        </w:rPr>
        <w:t xml:space="preserve">, </w:t>
      </w:r>
      <w:r w:rsidRPr="003B7FD6">
        <w:rPr>
          <w:rFonts w:ascii="Times New Roman" w:hAnsi="Times New Roman"/>
          <w:b/>
          <w:sz w:val="24"/>
          <w:u w:val="single"/>
        </w:rPr>
        <w:t>and $</w:t>
      </w:r>
      <w:r>
        <w:rPr>
          <w:rFonts w:ascii="Times New Roman" w:hAnsi="Times New Roman"/>
          <w:b/>
          <w:sz w:val="24"/>
          <w:u w:val="single"/>
        </w:rPr>
        <w:t>12</w:t>
      </w:r>
      <w:r w:rsidRPr="003B7FD6">
        <w:rPr>
          <w:rFonts w:ascii="Times New Roman" w:hAnsi="Times New Roman"/>
          <w:b/>
          <w:sz w:val="24"/>
          <w:u w:val="single"/>
        </w:rPr>
        <w:t xml:space="preserve"> per Lunch meal served</w:t>
      </w:r>
      <w:r>
        <w:rPr>
          <w:rFonts w:ascii="Times New Roman" w:hAnsi="Times New Roman"/>
          <w:b/>
          <w:sz w:val="24"/>
        </w:rPr>
        <w:t xml:space="preserve"> </w:t>
      </w:r>
      <w:r w:rsidRPr="008B4299">
        <w:rPr>
          <w:rFonts w:ascii="Times New Roman" w:hAnsi="Times New Roman"/>
          <w:b/>
          <w:sz w:val="24"/>
        </w:rPr>
        <w:t xml:space="preserve">to registered County Go &amp; Dine program participants per specifications in Schedule A of this </w:t>
      </w:r>
      <w:r>
        <w:rPr>
          <w:rFonts w:ascii="Times New Roman" w:hAnsi="Times New Roman"/>
          <w:b/>
          <w:sz w:val="24"/>
        </w:rPr>
        <w:t>agreement.</w:t>
      </w:r>
    </w:p>
    <w:p w14:paraId="7D3596F7" w14:textId="77777777" w:rsidR="00386045" w:rsidRDefault="00386045" w:rsidP="00386045">
      <w:pPr>
        <w:rPr>
          <w:rFonts w:ascii="Times New Roman" w:hAnsi="Times New Roman"/>
          <w:sz w:val="24"/>
        </w:rPr>
      </w:pPr>
    </w:p>
    <w:p w14:paraId="0BED71FA" w14:textId="77777777" w:rsidR="00386045" w:rsidRPr="0062179C" w:rsidRDefault="00386045" w:rsidP="00386045">
      <w:pPr>
        <w:rPr>
          <w:rFonts w:ascii="Times New Roman" w:hAnsi="Times New Roman"/>
          <w:sz w:val="24"/>
        </w:rPr>
      </w:pPr>
      <w:r w:rsidRPr="001E2228">
        <w:rPr>
          <w:rStyle w:val="Heading2Char"/>
        </w:rPr>
        <w:t>Payments</w:t>
      </w:r>
      <w:r w:rsidRPr="0062179C">
        <w:rPr>
          <w:rFonts w:ascii="Times New Roman" w:hAnsi="Times New Roman"/>
          <w:sz w:val="24"/>
          <w:u w:val="single"/>
        </w:rPr>
        <w:t>:</w:t>
      </w:r>
      <w:r w:rsidRPr="0062179C">
        <w:rPr>
          <w:rFonts w:ascii="Times New Roman" w:hAnsi="Times New Roman"/>
          <w:sz w:val="24"/>
        </w:rPr>
        <w:t xml:space="preserve"> Any and all requests for p</w:t>
      </w:r>
      <w:r>
        <w:rPr>
          <w:rFonts w:ascii="Times New Roman" w:hAnsi="Times New Roman"/>
          <w:sz w:val="24"/>
        </w:rPr>
        <w:t xml:space="preserve">ayment to be made </w:t>
      </w:r>
      <w:r w:rsidRPr="008B4299">
        <w:rPr>
          <w:rFonts w:ascii="Times New Roman" w:hAnsi="Times New Roman"/>
          <w:b/>
          <w:sz w:val="24"/>
        </w:rPr>
        <w:t xml:space="preserve">per specifications in Schedule A of this </w:t>
      </w:r>
      <w:r>
        <w:rPr>
          <w:rFonts w:ascii="Times New Roman" w:hAnsi="Times New Roman"/>
          <w:b/>
          <w:sz w:val="24"/>
        </w:rPr>
        <w:t xml:space="preserve">agreement. </w:t>
      </w:r>
      <w:r w:rsidRPr="0062179C">
        <w:rPr>
          <w:rFonts w:ascii="Times New Roman" w:hAnsi="Times New Roman"/>
          <w:sz w:val="24"/>
        </w:rPr>
        <w:t xml:space="preserve">Except as otherwise expressly stated in the Agreement, no payment shall be made by the County to the Agency for </w:t>
      </w:r>
      <w:r>
        <w:rPr>
          <w:rFonts w:ascii="Times New Roman" w:hAnsi="Times New Roman"/>
          <w:sz w:val="24"/>
        </w:rPr>
        <w:t>o</w:t>
      </w:r>
      <w:r w:rsidRPr="0062179C">
        <w:rPr>
          <w:rFonts w:ascii="Times New Roman" w:hAnsi="Times New Roman"/>
          <w:sz w:val="24"/>
        </w:rPr>
        <w:t>ut-of-pocket expenses or disbursements made in connection with the contract services to be performed hereunder.</w:t>
      </w:r>
    </w:p>
    <w:p w14:paraId="7C610B46" w14:textId="7AC5C2A1" w:rsidR="00047D70" w:rsidRPr="001E2228" w:rsidRDefault="001E2228" w:rsidP="00386045">
      <w:pPr>
        <w:rPr>
          <w:rFonts w:ascii="Times New Roman" w:hAnsi="Times New Roman"/>
          <w:sz w:val="24"/>
        </w:rPr>
      </w:pPr>
      <w:r>
        <w:rPr>
          <w:rFonts w:ascii="Times New Roman" w:hAnsi="Times New Roman"/>
          <w:sz w:val="24"/>
        </w:rPr>
        <w:br w:type="page"/>
      </w:r>
    </w:p>
    <w:p w14:paraId="7180A51D" w14:textId="77777777" w:rsidR="00047D70" w:rsidRPr="001E2228" w:rsidRDefault="00047D70" w:rsidP="00386045">
      <w:pPr>
        <w:rPr>
          <w:rFonts w:ascii="Times New Roman" w:hAnsi="Times New Roman"/>
          <w:sz w:val="96"/>
          <w:szCs w:val="96"/>
          <w:u w:val="single"/>
        </w:rPr>
      </w:pPr>
    </w:p>
    <w:p w14:paraId="67FDA98E" w14:textId="31FA7C55" w:rsidR="00386045" w:rsidRPr="0062179C" w:rsidRDefault="00386045" w:rsidP="00386045">
      <w:pPr>
        <w:rPr>
          <w:rFonts w:ascii="Times New Roman" w:hAnsi="Times New Roman"/>
          <w:sz w:val="24"/>
        </w:rPr>
      </w:pPr>
      <w:r w:rsidRPr="001E2228">
        <w:rPr>
          <w:rStyle w:val="Heading2Char"/>
        </w:rPr>
        <w:t>Fiscal Reporting</w:t>
      </w:r>
      <w:r w:rsidRPr="0062179C">
        <w:rPr>
          <w:rFonts w:ascii="Times New Roman" w:hAnsi="Times New Roman"/>
          <w:sz w:val="24"/>
          <w:u w:val="single"/>
        </w:rPr>
        <w:t>:</w:t>
      </w:r>
      <w:r>
        <w:rPr>
          <w:rFonts w:ascii="Times New Roman" w:hAnsi="Times New Roman"/>
          <w:sz w:val="24"/>
        </w:rPr>
        <w:t xml:space="preserve"> </w:t>
      </w:r>
      <w:r w:rsidRPr="0062179C">
        <w:rPr>
          <w:rFonts w:ascii="Times New Roman" w:hAnsi="Times New Roman"/>
          <w:sz w:val="24"/>
        </w:rPr>
        <w:t xml:space="preserve">Agency agrees to establish and maintain separate accounting records for this contractual agreement in accordance with generally accepted accounting principles. </w:t>
      </w:r>
    </w:p>
    <w:p w14:paraId="095E95DD" w14:textId="77777777" w:rsidR="00386045" w:rsidRDefault="00386045" w:rsidP="00386045">
      <w:pPr>
        <w:rPr>
          <w:rFonts w:ascii="Times New Roman" w:hAnsi="Times New Roman"/>
          <w:sz w:val="24"/>
        </w:rPr>
      </w:pPr>
    </w:p>
    <w:p w14:paraId="0CA7FAA2" w14:textId="77777777" w:rsidR="00386045" w:rsidRPr="0062179C" w:rsidRDefault="00386045" w:rsidP="00386045">
      <w:pPr>
        <w:rPr>
          <w:rFonts w:ascii="Times New Roman" w:hAnsi="Times New Roman"/>
          <w:sz w:val="24"/>
        </w:rPr>
      </w:pPr>
      <w:r w:rsidRPr="001E2228">
        <w:rPr>
          <w:rStyle w:val="Heading2Char"/>
        </w:rPr>
        <w:t>Refund by the Agency</w:t>
      </w:r>
      <w:r>
        <w:rPr>
          <w:rFonts w:ascii="Times New Roman" w:hAnsi="Times New Roman"/>
          <w:sz w:val="24"/>
          <w:u w:val="single"/>
        </w:rPr>
        <w:t>:</w:t>
      </w:r>
      <w:r w:rsidRPr="0062179C">
        <w:rPr>
          <w:rFonts w:ascii="Times New Roman" w:hAnsi="Times New Roman"/>
          <w:sz w:val="24"/>
        </w:rPr>
        <w:t xml:space="preserve">  If, upon the expiration of this Agreement, the amount received by the Agency, exceeds the authorized expenditures pursuant to this Agreement, Agency shall remit to the County the amount of such excess within ten (10 ) days upon separate request of the County. The Agency's obligation under this Section shall continue beyond the expiration or termination of this Agreement.</w:t>
      </w:r>
    </w:p>
    <w:p w14:paraId="2346C6EF" w14:textId="77777777" w:rsidR="00386045" w:rsidRDefault="00386045" w:rsidP="00386045">
      <w:pPr>
        <w:rPr>
          <w:rFonts w:ascii="Times New Roman" w:hAnsi="Times New Roman"/>
          <w:sz w:val="24"/>
        </w:rPr>
      </w:pPr>
    </w:p>
    <w:p w14:paraId="6D4A8D7F" w14:textId="76BA9F40" w:rsidR="00386045" w:rsidRDefault="00386045" w:rsidP="00386045">
      <w:pPr>
        <w:rPr>
          <w:rFonts w:ascii="Times New Roman" w:hAnsi="Times New Roman"/>
          <w:sz w:val="24"/>
        </w:rPr>
      </w:pPr>
      <w:r w:rsidRPr="001E2228">
        <w:rPr>
          <w:rStyle w:val="Heading2Char"/>
        </w:rPr>
        <w:t>Final Payment by the County</w:t>
      </w:r>
      <w:r w:rsidRPr="004F4055">
        <w:rPr>
          <w:rFonts w:ascii="Times New Roman" w:hAnsi="Times New Roman"/>
          <w:sz w:val="24"/>
          <w:u w:val="single"/>
        </w:rPr>
        <w:t>:</w:t>
      </w:r>
      <w:r w:rsidRPr="0062179C">
        <w:rPr>
          <w:rFonts w:ascii="Times New Roman" w:hAnsi="Times New Roman"/>
          <w:sz w:val="24"/>
        </w:rPr>
        <w:t xml:space="preserve">  If, upon the expiration or termination of this agreement, the County owes the Agency for contract services, the Agency shall submit an invoice within thirty (30) days after the termination date, in such form and supported by such documentation and certification as the County may require, and the County shall pay the Agency the appropriate amount. The County's obligation under this Section shall continue beyond the expiration or termination of this contract. </w:t>
      </w:r>
    </w:p>
    <w:p w14:paraId="2D1A45F1" w14:textId="77777777" w:rsidR="003C59C2" w:rsidRPr="003C59C2" w:rsidRDefault="003C59C2" w:rsidP="003C59C2">
      <w:pPr>
        <w:rPr>
          <w:rFonts w:ascii="Times New Roman" w:hAnsi="Times New Roman"/>
          <w:color w:val="FFFFFF" w:themeColor="background1"/>
          <w:sz w:val="24"/>
        </w:rPr>
      </w:pPr>
      <w:r w:rsidRPr="003C59C2">
        <w:rPr>
          <w:rFonts w:ascii="Times New Roman" w:hAnsi="Times New Roman"/>
          <w:color w:val="FFFFFF" w:themeColor="background1"/>
          <w:sz w:val="24"/>
        </w:rPr>
        <w:t>The National Resource Center Nutrition &amp; Aging logo.</w:t>
      </w:r>
    </w:p>
    <w:p w14:paraId="63F9F80E" w14:textId="77777777" w:rsidR="003C59C2" w:rsidRPr="003C59C2" w:rsidRDefault="003C59C2" w:rsidP="003C59C2">
      <w:pPr>
        <w:rPr>
          <w:rFonts w:ascii="Times New Roman" w:hAnsi="Times New Roman"/>
          <w:color w:val="FFFFFF" w:themeColor="background1"/>
          <w:sz w:val="24"/>
        </w:rPr>
      </w:pPr>
      <w:r w:rsidRPr="003C59C2">
        <w:rPr>
          <w:rFonts w:ascii="Times New Roman" w:hAnsi="Times New Roman"/>
          <w:color w:val="FFFFFF" w:themeColor="background1"/>
          <w:sz w:val="24"/>
        </w:rPr>
        <w:t>Administration for Community Living (ACL) logo.</w:t>
      </w:r>
    </w:p>
    <w:p w14:paraId="07AE1232" w14:textId="77777777" w:rsidR="003C59C2" w:rsidRPr="003C59C2" w:rsidRDefault="003C59C2" w:rsidP="003C59C2">
      <w:pPr>
        <w:rPr>
          <w:rFonts w:ascii="Times New Roman" w:hAnsi="Times New Roman"/>
          <w:color w:val="FFFFFF" w:themeColor="background1"/>
          <w:sz w:val="24"/>
        </w:rPr>
      </w:pPr>
      <w:r w:rsidRPr="003C59C2">
        <w:rPr>
          <w:rFonts w:ascii="Times New Roman" w:hAnsi="Times New Roman"/>
          <w:color w:val="FFFFFF" w:themeColor="background1"/>
          <w:sz w:val="24"/>
        </w:rPr>
        <w:t>nutritionandaging.org</w:t>
      </w:r>
    </w:p>
    <w:p w14:paraId="707C598D" w14:textId="3BFCCB3A" w:rsidR="003C59C2" w:rsidRPr="003C59C2" w:rsidRDefault="003C59C2" w:rsidP="003C59C2">
      <w:pPr>
        <w:rPr>
          <w:rFonts w:ascii="Times New Roman" w:hAnsi="Times New Roman"/>
          <w:color w:val="FFFFFF" w:themeColor="background1"/>
          <w:sz w:val="24"/>
        </w:rPr>
      </w:pPr>
      <w:r w:rsidRPr="003C59C2">
        <w:rPr>
          <w:rFonts w:ascii="Times New Roman" w:hAnsi="Times New Roman"/>
          <w:color w:val="FFFFFF" w:themeColor="background1"/>
          <w:sz w:val="24"/>
        </w:rPr>
        <w:t>This project was supported, in part by grant number 90PPNU0001 from the U.S. Administration for Community Living, Department of Health and Human Services, Washington, D.C. 20201.</w:t>
      </w:r>
    </w:p>
    <w:p w14:paraId="4DCA01B5" w14:textId="77777777" w:rsidR="00134B3D" w:rsidRDefault="00134B3D" w:rsidP="00386045">
      <w:pPr>
        <w:ind w:right="-1440"/>
      </w:pPr>
    </w:p>
    <w:p w14:paraId="59B04C7A" w14:textId="281C251D" w:rsidR="00134B3D" w:rsidRPr="001E2228" w:rsidRDefault="00134B3D" w:rsidP="00134B3D">
      <w:pPr>
        <w:ind w:left="-1440" w:right="-1440"/>
        <w:rPr>
          <w:sz w:val="544"/>
          <w:szCs w:val="544"/>
        </w:rPr>
      </w:pPr>
    </w:p>
    <w:p w14:paraId="5D7CEAFA" w14:textId="5AC88D58" w:rsidR="007B1F1C" w:rsidRDefault="001E2228" w:rsidP="001E2228">
      <w:pPr>
        <w:ind w:hanging="1440"/>
      </w:pPr>
      <w:r>
        <w:rPr>
          <w:noProof/>
        </w:rPr>
        <w:lastRenderedPageBreak/>
        <w:drawing>
          <wp:inline distT="0" distB="0" distL="0" distR="0" wp14:anchorId="2A96775B" wp14:editId="71AFBA47">
            <wp:extent cx="7764780" cy="915670"/>
            <wp:effectExtent l="0" t="0" r="7620" b="0"/>
            <wp:docPr id="5" name="Picture 5" descr="The National Resource Center Nutrition &amp; Aging logo.&#10;Administration for Community Living (ACL) logo.&#10;nutritionandaging.org&#10;This project was supported, in part by grant number 90PPNU0001 from the U.S. Administration for Community Living, Department of Health and Human Services, Washington, D.C. 2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National Resource Center Nutrition &amp; Aging logo.&#10;Administration for Community Living (ACL) logo.&#10;nutritionandaging.org&#10;This project was supported, in part by grant number 90PPNU0001 from the U.S. Administration for Community Living, Department of Health and Human Services, Washington, D.C. 20201."/>
                    <pic:cNvPicPr/>
                  </pic:nvPicPr>
                  <pic:blipFill>
                    <a:blip r:embed="rId8">
                      <a:extLst>
                        <a:ext uri="{28A0092B-C50C-407E-A947-70E740481C1C}">
                          <a14:useLocalDpi xmlns:a14="http://schemas.microsoft.com/office/drawing/2010/main" val="0"/>
                        </a:ext>
                      </a:extLst>
                    </a:blip>
                    <a:stretch>
                      <a:fillRect/>
                    </a:stretch>
                  </pic:blipFill>
                  <pic:spPr>
                    <a:xfrm>
                      <a:off x="0" y="0"/>
                      <a:ext cx="7764780" cy="915670"/>
                    </a:xfrm>
                    <a:prstGeom prst="rect">
                      <a:avLst/>
                    </a:prstGeom>
                  </pic:spPr>
                </pic:pic>
              </a:graphicData>
            </a:graphic>
          </wp:inline>
        </w:drawing>
      </w:r>
    </w:p>
    <w:sectPr w:rsidR="007B1F1C" w:rsidSect="001E2228">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B3D"/>
    <w:rsid w:val="00047D70"/>
    <w:rsid w:val="00134B3D"/>
    <w:rsid w:val="001E2228"/>
    <w:rsid w:val="00386045"/>
    <w:rsid w:val="003C59C2"/>
    <w:rsid w:val="005F1A7A"/>
    <w:rsid w:val="00687C7A"/>
    <w:rsid w:val="007B1F1C"/>
    <w:rsid w:val="009F3DE0"/>
    <w:rsid w:val="00BE183B"/>
    <w:rsid w:val="00C9000F"/>
    <w:rsid w:val="00D83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A4A38"/>
  <w15:docId w15:val="{57567161-28D1-456A-B875-27AFA920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00F"/>
    <w:pPr>
      <w:keepNext/>
      <w:keepLines/>
      <w:spacing w:before="240" w:after="0"/>
      <w:outlineLvl w:val="0"/>
    </w:pPr>
    <w:rPr>
      <w:rFonts w:ascii="Times New Roman" w:eastAsiaTheme="majorEastAsia" w:hAnsi="Times New Roman" w:cstheme="majorBidi"/>
      <w:b/>
      <w:sz w:val="24"/>
      <w:szCs w:val="32"/>
      <w:u w:val="single"/>
    </w:rPr>
  </w:style>
  <w:style w:type="paragraph" w:styleId="Heading2">
    <w:name w:val="heading 2"/>
    <w:basedOn w:val="Normal"/>
    <w:next w:val="Normal"/>
    <w:link w:val="Heading2Char"/>
    <w:uiPriority w:val="9"/>
    <w:unhideWhenUsed/>
    <w:qFormat/>
    <w:rsid w:val="00C9000F"/>
    <w:pPr>
      <w:keepNext/>
      <w:keepLines/>
      <w:spacing w:before="40" w:after="0"/>
      <w:outlineLvl w:val="1"/>
    </w:pPr>
    <w:rPr>
      <w:rFonts w:ascii="Times New Roman" w:eastAsiaTheme="majorEastAsia" w:hAnsi="Times New Roman" w:cstheme="majorBidi"/>
      <w:sz w:val="24"/>
      <w:szCs w:val="26"/>
      <w:u w:val="single"/>
    </w:rPr>
  </w:style>
  <w:style w:type="paragraph" w:styleId="Heading3">
    <w:name w:val="heading 3"/>
    <w:basedOn w:val="Normal"/>
    <w:next w:val="Normal"/>
    <w:link w:val="Heading3Char"/>
    <w:uiPriority w:val="9"/>
    <w:unhideWhenUsed/>
    <w:qFormat/>
    <w:rsid w:val="001E22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C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C7A"/>
    <w:rPr>
      <w:rFonts w:ascii="Lucida Grande" w:hAnsi="Lucida Grande" w:cs="Lucida Grande"/>
      <w:sz w:val="18"/>
      <w:szCs w:val="18"/>
    </w:rPr>
  </w:style>
  <w:style w:type="character" w:customStyle="1" w:styleId="Heading1Char">
    <w:name w:val="Heading 1 Char"/>
    <w:basedOn w:val="DefaultParagraphFont"/>
    <w:link w:val="Heading1"/>
    <w:uiPriority w:val="9"/>
    <w:rsid w:val="00C9000F"/>
    <w:rPr>
      <w:rFonts w:ascii="Times New Roman" w:eastAsiaTheme="majorEastAsia" w:hAnsi="Times New Roman" w:cstheme="majorBidi"/>
      <w:b/>
      <w:sz w:val="24"/>
      <w:szCs w:val="32"/>
      <w:u w:val="single"/>
    </w:rPr>
  </w:style>
  <w:style w:type="character" w:customStyle="1" w:styleId="Heading2Char">
    <w:name w:val="Heading 2 Char"/>
    <w:basedOn w:val="DefaultParagraphFont"/>
    <w:link w:val="Heading2"/>
    <w:uiPriority w:val="9"/>
    <w:rsid w:val="00C9000F"/>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sid w:val="001E222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4" ma:contentTypeDescription="Create a new document." ma:contentTypeScope="" ma:versionID="3f4835c7fd9c92b412be3f1f371bcd3d">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8ee7d375acdf817f48b45adc8155071c"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43835-9214-4E43-87B7-FA7F8A5D4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B3D2C-CD45-425D-9837-F16FC65D213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ba8d4a1-0a1c-4299-93a5-2682bf5a17ad"/>
    <ds:schemaRef ds:uri="9c4568af-78d6-4de7-8a7f-d4a1b22f7f5e"/>
    <ds:schemaRef ds:uri="http://www.w3.org/XML/1998/namespace"/>
  </ds:schemaRefs>
</ds:datastoreItem>
</file>

<file path=customXml/itemProps3.xml><?xml version="1.0" encoding="utf-8"?>
<ds:datastoreItem xmlns:ds="http://schemas.openxmlformats.org/officeDocument/2006/customXml" ds:itemID="{B04A2B99-335E-4D58-9F5F-1F09B4B1C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ACL Innovation Grantee Erie County Cendor Contract Sample</vt:lpstr>
    </vt:vector>
  </TitlesOfParts>
  <Company>USSOUTHCOM</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Innovation Grantee Erie County Vendor Contract Sample</dc:title>
  <dc:subject/>
  <dc:creator>Matos, Carina B CIV USSOUTHCOM/SCJ4 (L)</dc:creator>
  <cp:keywords/>
  <dc:description/>
  <cp:lastModifiedBy>ksmith</cp:lastModifiedBy>
  <cp:revision>7</cp:revision>
  <dcterms:created xsi:type="dcterms:W3CDTF">2020-07-13T19:10:00Z</dcterms:created>
  <dcterms:modified xsi:type="dcterms:W3CDTF">2021-09-10T12:18:00Z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