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B983A" w14:textId="63C693A1" w:rsidR="00520105" w:rsidRPr="00323FCF" w:rsidRDefault="00E6064D" w:rsidP="005070DC">
      <w:pPr>
        <w:jc w:val="center"/>
        <w:rPr>
          <w:rFonts w:eastAsia="Times New Roman"/>
        </w:rPr>
      </w:pPr>
      <w:bookmarkStart w:id="0" w:name="_Toc21090947"/>
      <w:bookmarkStart w:id="1" w:name="_Toc21091053"/>
      <w:r>
        <w:rPr>
          <w:noProof/>
        </w:rPr>
        <w:drawing>
          <wp:inline distT="0" distB="0" distL="0" distR="0" wp14:anchorId="21FF7413" wp14:editId="2ED41F20">
            <wp:extent cx="3261353" cy="676275"/>
            <wp:effectExtent l="0" t="0" r="0" b="0"/>
            <wp:docPr id="1" name="Picture 1" descr="The Administration of Community Living  (ACL) , as well as New Editions Consulting In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89945" cy="682204"/>
                    </a:xfrm>
                    <a:prstGeom prst="rect">
                      <a:avLst/>
                    </a:prstGeom>
                  </pic:spPr>
                </pic:pic>
              </a:graphicData>
            </a:graphic>
          </wp:inline>
        </w:drawing>
      </w:r>
    </w:p>
    <w:p w14:paraId="0875CF04" w14:textId="26244CE6" w:rsidR="009F1649" w:rsidRPr="00E819DA" w:rsidRDefault="009F1649" w:rsidP="000B5513">
      <w:pPr>
        <w:pStyle w:val="Heading1"/>
        <w:spacing w:before="1440" w:after="360"/>
        <w:jc w:val="center"/>
        <w:rPr>
          <w:rFonts w:eastAsia="Times New Roman"/>
          <w:color w:val="2F5496" w:themeColor="accent1" w:themeShade="BF"/>
          <w:sz w:val="56"/>
          <w:szCs w:val="56"/>
        </w:rPr>
      </w:pPr>
      <w:bookmarkStart w:id="2" w:name="_Toc39583713"/>
      <w:bookmarkStart w:id="3" w:name="_Toc39584599"/>
      <w:bookmarkStart w:id="4" w:name="_Toc40720795"/>
      <w:bookmarkStart w:id="5" w:name="_Toc42706601"/>
      <w:bookmarkStart w:id="6" w:name="_Toc42706825"/>
      <w:r w:rsidRPr="00E819DA">
        <w:rPr>
          <w:rFonts w:eastAsia="Times New Roman"/>
          <w:color w:val="2F5496" w:themeColor="accent1" w:themeShade="BF"/>
          <w:sz w:val="56"/>
          <w:szCs w:val="56"/>
        </w:rPr>
        <w:t>ACL Data Council</w:t>
      </w:r>
      <w:bookmarkEnd w:id="0"/>
      <w:bookmarkEnd w:id="1"/>
      <w:bookmarkEnd w:id="2"/>
      <w:bookmarkEnd w:id="3"/>
      <w:bookmarkEnd w:id="4"/>
      <w:bookmarkEnd w:id="5"/>
      <w:bookmarkEnd w:id="6"/>
    </w:p>
    <w:p w14:paraId="484761B8" w14:textId="04A15B60" w:rsidR="00520105" w:rsidRDefault="005F6564" w:rsidP="00A07086">
      <w:pPr>
        <w:pStyle w:val="Heading1"/>
        <w:spacing w:after="480"/>
        <w:jc w:val="center"/>
        <w:rPr>
          <w:color w:val="2F5496" w:themeColor="accent1" w:themeShade="BF"/>
          <w:sz w:val="32"/>
        </w:rPr>
      </w:pPr>
      <w:bookmarkStart w:id="7" w:name="_Toc39583714"/>
      <w:bookmarkStart w:id="8" w:name="_Toc39584600"/>
      <w:bookmarkStart w:id="9" w:name="_Toc40720796"/>
      <w:bookmarkStart w:id="10" w:name="_Toc42706602"/>
      <w:bookmarkStart w:id="11" w:name="_Toc42706826"/>
      <w:r w:rsidRPr="00E819DA">
        <w:rPr>
          <w:color w:val="2F5496" w:themeColor="accent1" w:themeShade="BF"/>
          <w:sz w:val="32"/>
        </w:rPr>
        <w:t>Data Governance Standards</w:t>
      </w:r>
      <w:r>
        <w:rPr>
          <w:color w:val="2F5496" w:themeColor="accent1" w:themeShade="BF"/>
          <w:sz w:val="32"/>
        </w:rPr>
        <w:t xml:space="preserve"> </w:t>
      </w:r>
      <w:r w:rsidR="00F00498" w:rsidRPr="00E819DA">
        <w:rPr>
          <w:color w:val="2F5496" w:themeColor="accent1" w:themeShade="BF"/>
          <w:sz w:val="32"/>
        </w:rPr>
        <w:t>Working Group</w:t>
      </w:r>
      <w:bookmarkEnd w:id="7"/>
      <w:bookmarkEnd w:id="8"/>
      <w:bookmarkEnd w:id="9"/>
      <w:bookmarkEnd w:id="10"/>
      <w:bookmarkEnd w:id="11"/>
    </w:p>
    <w:p w14:paraId="0EA487B0" w14:textId="77777777" w:rsidR="00CB1B39" w:rsidRDefault="005F6564" w:rsidP="00750162">
      <w:pPr>
        <w:pStyle w:val="Heading1"/>
        <w:ind w:left="720" w:right="720"/>
        <w:jc w:val="center"/>
        <w:rPr>
          <w:color w:val="2F5496" w:themeColor="accent1" w:themeShade="BF"/>
          <w:sz w:val="32"/>
        </w:rPr>
      </w:pPr>
      <w:bookmarkStart w:id="12" w:name="_Toc39583715"/>
      <w:bookmarkStart w:id="13" w:name="_Toc39584601"/>
      <w:bookmarkStart w:id="14" w:name="_Toc40720797"/>
      <w:bookmarkStart w:id="15" w:name="_Toc42706603"/>
      <w:bookmarkStart w:id="16" w:name="_Toc42706827"/>
      <w:r>
        <w:rPr>
          <w:color w:val="2F5496" w:themeColor="accent1" w:themeShade="BF"/>
          <w:sz w:val="32"/>
        </w:rPr>
        <w:t>Annotated Bibliography of Data Governance Standards, Frameworks, and Models</w:t>
      </w:r>
      <w:r w:rsidR="005E6F11">
        <w:rPr>
          <w:color w:val="2F5496" w:themeColor="accent1" w:themeShade="BF"/>
          <w:sz w:val="32"/>
        </w:rPr>
        <w:t xml:space="preserve"> and </w:t>
      </w:r>
      <w:r w:rsidR="00FF488C">
        <w:rPr>
          <w:color w:val="2F5496" w:themeColor="accent1" w:themeShade="BF"/>
          <w:sz w:val="32"/>
        </w:rPr>
        <w:t>T</w:t>
      </w:r>
      <w:r w:rsidR="005E6F11">
        <w:rPr>
          <w:color w:val="2F5496" w:themeColor="accent1" w:themeShade="BF"/>
          <w:sz w:val="32"/>
        </w:rPr>
        <w:t>heir Application for ACL</w:t>
      </w:r>
      <w:bookmarkEnd w:id="12"/>
      <w:bookmarkEnd w:id="13"/>
      <w:bookmarkEnd w:id="14"/>
      <w:bookmarkEnd w:id="15"/>
      <w:bookmarkEnd w:id="16"/>
    </w:p>
    <w:p w14:paraId="75112A0E" w14:textId="0D344488" w:rsidR="00750162" w:rsidRPr="00750162" w:rsidRDefault="00A33CEB" w:rsidP="003F6FEE">
      <w:pPr>
        <w:spacing w:before="900"/>
        <w:jc w:val="center"/>
        <w:rPr>
          <w:b/>
          <w:bCs/>
          <w:color w:val="C00000"/>
          <w:sz w:val="40"/>
          <w:szCs w:val="40"/>
        </w:rPr>
        <w:sectPr w:rsidR="00750162" w:rsidRPr="00750162" w:rsidSect="005070DC">
          <w:footerReference w:type="default" r:id="rId9"/>
          <w:headerReference w:type="first" r:id="rId10"/>
          <w:pgSz w:w="12240" w:h="15840"/>
          <w:pgMar w:top="1440" w:right="1440" w:bottom="1440" w:left="1170" w:header="360" w:footer="720" w:gutter="0"/>
          <w:cols w:space="720"/>
          <w:titlePg/>
          <w:docGrid w:linePitch="360"/>
        </w:sectPr>
      </w:pPr>
      <w:r>
        <w:rPr>
          <w:b/>
          <w:bCs/>
          <w:color w:val="C00000"/>
          <w:sz w:val="40"/>
          <w:szCs w:val="40"/>
        </w:rPr>
        <w:t>June 10, 2020</w:t>
      </w:r>
    </w:p>
    <w:p w14:paraId="7545BF47" w14:textId="77777777" w:rsidR="008E2A26" w:rsidRPr="006B6EA8" w:rsidRDefault="00C81126" w:rsidP="00193E70">
      <w:pPr>
        <w:spacing w:after="0"/>
        <w:rPr>
          <w:color w:val="FFFFFF" w:themeColor="background1"/>
        </w:rPr>
      </w:pPr>
      <w:r w:rsidRPr="006B6EA8">
        <w:rPr>
          <w:color w:val="FFFFFF" w:themeColor="background1"/>
        </w:rPr>
        <w:lastRenderedPageBreak/>
        <w:t>20, 2</w:t>
      </w:r>
    </w:p>
    <w:sdt>
      <w:sdtPr>
        <w:rPr>
          <w:rFonts w:asciiTheme="minorHAnsi" w:eastAsiaTheme="minorHAnsi" w:hAnsiTheme="minorHAnsi" w:cstheme="minorBidi"/>
          <w:color w:val="auto"/>
          <w:sz w:val="22"/>
          <w:szCs w:val="22"/>
        </w:rPr>
        <w:id w:val="-2047442876"/>
        <w:docPartObj>
          <w:docPartGallery w:val="Table of Contents"/>
          <w:docPartUnique/>
        </w:docPartObj>
      </w:sdtPr>
      <w:sdtEndPr>
        <w:rPr>
          <w:b/>
          <w:bCs/>
          <w:noProof/>
        </w:rPr>
      </w:sdtEndPr>
      <w:sdtContent>
        <w:p w14:paraId="0FC7EBBA" w14:textId="6565336E" w:rsidR="008E2A26" w:rsidRPr="00937718" w:rsidRDefault="008E2A26">
          <w:pPr>
            <w:pStyle w:val="TOCHeading"/>
            <w:rPr>
              <w:b/>
              <w:bCs/>
            </w:rPr>
          </w:pPr>
          <w:r w:rsidRPr="00937718">
            <w:rPr>
              <w:b/>
              <w:bCs/>
            </w:rPr>
            <w:t>Contents</w:t>
          </w:r>
        </w:p>
        <w:p w14:paraId="7A1D4A47" w14:textId="15056741" w:rsidR="008E2A26" w:rsidRDefault="008E2A26" w:rsidP="008E2A26">
          <w:pPr>
            <w:pStyle w:val="TOC1"/>
            <w:tabs>
              <w:tab w:val="right" w:leader="dot" w:pos="9620"/>
            </w:tabs>
            <w:rPr>
              <w:rFonts w:eastAsiaTheme="minorEastAsia"/>
              <w:noProof/>
            </w:rPr>
          </w:pPr>
          <w:r>
            <w:fldChar w:fldCharType="begin"/>
          </w:r>
          <w:r>
            <w:instrText xml:space="preserve"> TOC \o "1-3" \h \z \u </w:instrText>
          </w:r>
          <w:r>
            <w:fldChar w:fldCharType="separate"/>
          </w:r>
          <w:hyperlink w:anchor="_Toc42706828" w:history="1">
            <w:r w:rsidRPr="0069296A">
              <w:rPr>
                <w:rStyle w:val="Hyperlink"/>
                <w:noProof/>
              </w:rPr>
              <w:t>Purpose</w:t>
            </w:r>
            <w:r>
              <w:rPr>
                <w:noProof/>
                <w:webHidden/>
              </w:rPr>
              <w:tab/>
            </w:r>
            <w:r>
              <w:rPr>
                <w:noProof/>
                <w:webHidden/>
              </w:rPr>
              <w:fldChar w:fldCharType="begin"/>
            </w:r>
            <w:r>
              <w:rPr>
                <w:noProof/>
                <w:webHidden/>
              </w:rPr>
              <w:instrText xml:space="preserve"> PAGEREF _Toc42706828 \h </w:instrText>
            </w:r>
            <w:r>
              <w:rPr>
                <w:noProof/>
                <w:webHidden/>
              </w:rPr>
            </w:r>
            <w:r>
              <w:rPr>
                <w:noProof/>
                <w:webHidden/>
              </w:rPr>
              <w:fldChar w:fldCharType="separate"/>
            </w:r>
            <w:r w:rsidR="00A33CEB">
              <w:rPr>
                <w:noProof/>
                <w:webHidden/>
              </w:rPr>
              <w:t>1</w:t>
            </w:r>
            <w:r>
              <w:rPr>
                <w:noProof/>
                <w:webHidden/>
              </w:rPr>
              <w:fldChar w:fldCharType="end"/>
            </w:r>
          </w:hyperlink>
        </w:p>
        <w:p w14:paraId="50B77DD4" w14:textId="1B920B7E" w:rsidR="008E2A26" w:rsidRDefault="00046E40">
          <w:pPr>
            <w:pStyle w:val="TOC2"/>
            <w:rPr>
              <w:rFonts w:eastAsiaTheme="minorEastAsia"/>
              <w:noProof/>
            </w:rPr>
          </w:pPr>
          <w:hyperlink w:anchor="_Toc42706829" w:history="1">
            <w:r w:rsidR="008E2A26" w:rsidRPr="0069296A">
              <w:rPr>
                <w:rStyle w:val="Hyperlink"/>
                <w:noProof/>
              </w:rPr>
              <w:t>Content</w:t>
            </w:r>
            <w:r w:rsidR="008E2A26">
              <w:rPr>
                <w:noProof/>
                <w:webHidden/>
              </w:rPr>
              <w:tab/>
            </w:r>
            <w:r w:rsidR="008E2A26">
              <w:rPr>
                <w:noProof/>
                <w:webHidden/>
              </w:rPr>
              <w:fldChar w:fldCharType="begin"/>
            </w:r>
            <w:r w:rsidR="008E2A26">
              <w:rPr>
                <w:noProof/>
                <w:webHidden/>
              </w:rPr>
              <w:instrText xml:space="preserve"> PAGEREF _Toc42706829 \h </w:instrText>
            </w:r>
            <w:r w:rsidR="008E2A26">
              <w:rPr>
                <w:noProof/>
                <w:webHidden/>
              </w:rPr>
            </w:r>
            <w:r w:rsidR="008E2A26">
              <w:rPr>
                <w:noProof/>
                <w:webHidden/>
              </w:rPr>
              <w:fldChar w:fldCharType="separate"/>
            </w:r>
            <w:r w:rsidR="00A33CEB">
              <w:rPr>
                <w:noProof/>
                <w:webHidden/>
              </w:rPr>
              <w:t>1</w:t>
            </w:r>
            <w:r w:rsidR="008E2A26">
              <w:rPr>
                <w:noProof/>
                <w:webHidden/>
              </w:rPr>
              <w:fldChar w:fldCharType="end"/>
            </w:r>
          </w:hyperlink>
        </w:p>
        <w:p w14:paraId="2A63078E" w14:textId="038031E7" w:rsidR="008E2A26" w:rsidRDefault="00046E40" w:rsidP="008E2A26">
          <w:pPr>
            <w:pStyle w:val="TOC3"/>
            <w:tabs>
              <w:tab w:val="right" w:leader="dot" w:pos="9620"/>
            </w:tabs>
            <w:ind w:left="180"/>
            <w:rPr>
              <w:rFonts w:eastAsiaTheme="minorEastAsia"/>
              <w:noProof/>
            </w:rPr>
          </w:pPr>
          <w:hyperlink w:anchor="_Toc42706830" w:history="1">
            <w:r w:rsidR="008E2A26" w:rsidRPr="0069296A">
              <w:rPr>
                <w:rStyle w:val="Hyperlink"/>
                <w:noProof/>
              </w:rPr>
              <w:t>The National Information Exchange Model (</w:t>
            </w:r>
            <w:r w:rsidR="00937718">
              <w:rPr>
                <w:rStyle w:val="Hyperlink"/>
                <w:noProof/>
              </w:rPr>
              <w:t>ACF</w:t>
            </w:r>
            <w:r w:rsidR="008E2A26" w:rsidRPr="0069296A">
              <w:rPr>
                <w:rStyle w:val="Hyperlink"/>
                <w:noProof/>
              </w:rPr>
              <w:t>)</w:t>
            </w:r>
            <w:r w:rsidR="008E2A26">
              <w:rPr>
                <w:noProof/>
                <w:webHidden/>
              </w:rPr>
              <w:tab/>
            </w:r>
            <w:r w:rsidR="008E2A26">
              <w:rPr>
                <w:noProof/>
                <w:webHidden/>
              </w:rPr>
              <w:fldChar w:fldCharType="begin"/>
            </w:r>
            <w:r w:rsidR="008E2A26">
              <w:rPr>
                <w:noProof/>
                <w:webHidden/>
              </w:rPr>
              <w:instrText xml:space="preserve"> PAGEREF _Toc42706830 \h </w:instrText>
            </w:r>
            <w:r w:rsidR="008E2A26">
              <w:rPr>
                <w:noProof/>
                <w:webHidden/>
              </w:rPr>
            </w:r>
            <w:r w:rsidR="008E2A26">
              <w:rPr>
                <w:noProof/>
                <w:webHidden/>
              </w:rPr>
              <w:fldChar w:fldCharType="separate"/>
            </w:r>
            <w:r w:rsidR="00A33CEB">
              <w:rPr>
                <w:noProof/>
                <w:webHidden/>
              </w:rPr>
              <w:t>2</w:t>
            </w:r>
            <w:r w:rsidR="008E2A26">
              <w:rPr>
                <w:noProof/>
                <w:webHidden/>
              </w:rPr>
              <w:fldChar w:fldCharType="end"/>
            </w:r>
          </w:hyperlink>
        </w:p>
        <w:p w14:paraId="3425AEC0" w14:textId="595E47F5" w:rsidR="008E2A26" w:rsidRDefault="00046E40" w:rsidP="008E2A26">
          <w:pPr>
            <w:pStyle w:val="TOC3"/>
            <w:tabs>
              <w:tab w:val="right" w:leader="dot" w:pos="9620"/>
            </w:tabs>
            <w:ind w:left="180"/>
            <w:rPr>
              <w:rFonts w:eastAsiaTheme="minorEastAsia"/>
              <w:noProof/>
            </w:rPr>
          </w:pPr>
          <w:hyperlink w:anchor="_Toc42706831" w:history="1">
            <w:r w:rsidR="008E2A26" w:rsidRPr="0069296A">
              <w:rPr>
                <w:rStyle w:val="Hyperlink"/>
                <w:noProof/>
              </w:rPr>
              <w:t>The Federal Government Data Maturity Model</w:t>
            </w:r>
            <w:r w:rsidR="008E2A26">
              <w:rPr>
                <w:noProof/>
                <w:webHidden/>
              </w:rPr>
              <w:tab/>
            </w:r>
            <w:r w:rsidR="008E2A26">
              <w:rPr>
                <w:noProof/>
                <w:webHidden/>
              </w:rPr>
              <w:fldChar w:fldCharType="begin"/>
            </w:r>
            <w:r w:rsidR="008E2A26">
              <w:rPr>
                <w:noProof/>
                <w:webHidden/>
              </w:rPr>
              <w:instrText xml:space="preserve"> PAGEREF _Toc42706831 \h </w:instrText>
            </w:r>
            <w:r w:rsidR="008E2A26">
              <w:rPr>
                <w:noProof/>
                <w:webHidden/>
              </w:rPr>
            </w:r>
            <w:r w:rsidR="008E2A26">
              <w:rPr>
                <w:noProof/>
                <w:webHidden/>
              </w:rPr>
              <w:fldChar w:fldCharType="separate"/>
            </w:r>
            <w:r w:rsidR="00A33CEB">
              <w:rPr>
                <w:noProof/>
                <w:webHidden/>
              </w:rPr>
              <w:t>3</w:t>
            </w:r>
            <w:r w:rsidR="008E2A26">
              <w:rPr>
                <w:noProof/>
                <w:webHidden/>
              </w:rPr>
              <w:fldChar w:fldCharType="end"/>
            </w:r>
          </w:hyperlink>
        </w:p>
        <w:p w14:paraId="24ADBF43" w14:textId="4C8EEE39" w:rsidR="008E2A26" w:rsidRDefault="00046E40" w:rsidP="008E2A26">
          <w:pPr>
            <w:pStyle w:val="TOC3"/>
            <w:tabs>
              <w:tab w:val="right" w:leader="dot" w:pos="9620"/>
            </w:tabs>
            <w:ind w:left="180"/>
            <w:rPr>
              <w:rFonts w:eastAsiaTheme="minorEastAsia"/>
              <w:noProof/>
            </w:rPr>
          </w:pPr>
          <w:hyperlink w:anchor="_Toc42706832" w:history="1">
            <w:r w:rsidR="008E2A26" w:rsidRPr="0069296A">
              <w:rPr>
                <w:rStyle w:val="Hyperlink"/>
                <w:noProof/>
              </w:rPr>
              <w:t>Federal Data Strategy 2020 Action Plan</w:t>
            </w:r>
            <w:r w:rsidR="008E2A26">
              <w:rPr>
                <w:noProof/>
                <w:webHidden/>
              </w:rPr>
              <w:tab/>
            </w:r>
            <w:r w:rsidR="008E2A26">
              <w:rPr>
                <w:noProof/>
                <w:webHidden/>
              </w:rPr>
              <w:fldChar w:fldCharType="begin"/>
            </w:r>
            <w:r w:rsidR="008E2A26">
              <w:rPr>
                <w:noProof/>
                <w:webHidden/>
              </w:rPr>
              <w:instrText xml:space="preserve"> PAGEREF _Toc42706832 \h </w:instrText>
            </w:r>
            <w:r w:rsidR="008E2A26">
              <w:rPr>
                <w:noProof/>
                <w:webHidden/>
              </w:rPr>
            </w:r>
            <w:r w:rsidR="008E2A26">
              <w:rPr>
                <w:noProof/>
                <w:webHidden/>
              </w:rPr>
              <w:fldChar w:fldCharType="separate"/>
            </w:r>
            <w:r w:rsidR="00A33CEB">
              <w:rPr>
                <w:noProof/>
                <w:webHidden/>
              </w:rPr>
              <w:t>4</w:t>
            </w:r>
            <w:r w:rsidR="008E2A26">
              <w:rPr>
                <w:noProof/>
                <w:webHidden/>
              </w:rPr>
              <w:fldChar w:fldCharType="end"/>
            </w:r>
          </w:hyperlink>
        </w:p>
        <w:p w14:paraId="388F3A11" w14:textId="38A09B82" w:rsidR="008E2A26" w:rsidRDefault="00046E40" w:rsidP="008E2A26">
          <w:pPr>
            <w:pStyle w:val="TOC3"/>
            <w:tabs>
              <w:tab w:val="right" w:leader="dot" w:pos="9620"/>
            </w:tabs>
            <w:ind w:left="180"/>
            <w:rPr>
              <w:rFonts w:eastAsiaTheme="minorEastAsia"/>
              <w:noProof/>
            </w:rPr>
          </w:pPr>
          <w:hyperlink w:anchor="_Toc42706833" w:history="1">
            <w:r w:rsidR="008E2A26" w:rsidRPr="0069296A">
              <w:rPr>
                <w:rStyle w:val="Hyperlink"/>
                <w:noProof/>
              </w:rPr>
              <w:t>Grant Reporting Efficiency and Agreements Transparency Act of 2019</w:t>
            </w:r>
            <w:r w:rsidR="008E2A26">
              <w:rPr>
                <w:noProof/>
                <w:webHidden/>
              </w:rPr>
              <w:tab/>
            </w:r>
            <w:r w:rsidR="008E2A26">
              <w:rPr>
                <w:noProof/>
                <w:webHidden/>
              </w:rPr>
              <w:fldChar w:fldCharType="begin"/>
            </w:r>
            <w:r w:rsidR="008E2A26">
              <w:rPr>
                <w:noProof/>
                <w:webHidden/>
              </w:rPr>
              <w:instrText xml:space="preserve"> PAGEREF _Toc42706833 \h </w:instrText>
            </w:r>
            <w:r w:rsidR="008E2A26">
              <w:rPr>
                <w:noProof/>
                <w:webHidden/>
              </w:rPr>
            </w:r>
            <w:r w:rsidR="008E2A26">
              <w:rPr>
                <w:noProof/>
                <w:webHidden/>
              </w:rPr>
              <w:fldChar w:fldCharType="separate"/>
            </w:r>
            <w:r w:rsidR="00A33CEB">
              <w:rPr>
                <w:noProof/>
                <w:webHidden/>
              </w:rPr>
              <w:t>5</w:t>
            </w:r>
            <w:r w:rsidR="008E2A26">
              <w:rPr>
                <w:noProof/>
                <w:webHidden/>
              </w:rPr>
              <w:fldChar w:fldCharType="end"/>
            </w:r>
          </w:hyperlink>
        </w:p>
        <w:p w14:paraId="69B37803" w14:textId="0793C3B1" w:rsidR="008E2A26" w:rsidRDefault="00046E40" w:rsidP="008E2A26">
          <w:pPr>
            <w:pStyle w:val="TOC3"/>
            <w:tabs>
              <w:tab w:val="right" w:leader="dot" w:pos="9620"/>
            </w:tabs>
            <w:ind w:left="180"/>
            <w:rPr>
              <w:rFonts w:eastAsiaTheme="minorEastAsia"/>
              <w:noProof/>
            </w:rPr>
          </w:pPr>
          <w:hyperlink w:anchor="_Toc42706834" w:history="1">
            <w:r w:rsidR="008E2A26" w:rsidRPr="0069296A">
              <w:rPr>
                <w:rStyle w:val="Hyperlink"/>
                <w:noProof/>
              </w:rPr>
              <w:t>Data Strategy White Paper</w:t>
            </w:r>
            <w:r w:rsidR="008E2A26">
              <w:rPr>
                <w:rStyle w:val="Hyperlink"/>
                <w:noProof/>
              </w:rPr>
              <w:t xml:space="preserve"> (NASA)</w:t>
            </w:r>
            <w:r w:rsidR="008E2A26">
              <w:rPr>
                <w:noProof/>
                <w:webHidden/>
              </w:rPr>
              <w:tab/>
            </w:r>
            <w:r w:rsidR="008E2A26">
              <w:rPr>
                <w:noProof/>
                <w:webHidden/>
              </w:rPr>
              <w:fldChar w:fldCharType="begin"/>
            </w:r>
            <w:r w:rsidR="008E2A26">
              <w:rPr>
                <w:noProof/>
                <w:webHidden/>
              </w:rPr>
              <w:instrText xml:space="preserve"> PAGEREF _Toc42706834 \h </w:instrText>
            </w:r>
            <w:r w:rsidR="008E2A26">
              <w:rPr>
                <w:noProof/>
                <w:webHidden/>
              </w:rPr>
            </w:r>
            <w:r w:rsidR="008E2A26">
              <w:rPr>
                <w:noProof/>
                <w:webHidden/>
              </w:rPr>
              <w:fldChar w:fldCharType="separate"/>
            </w:r>
            <w:r w:rsidR="00A33CEB">
              <w:rPr>
                <w:noProof/>
                <w:webHidden/>
              </w:rPr>
              <w:t>6</w:t>
            </w:r>
            <w:r w:rsidR="008E2A26">
              <w:rPr>
                <w:noProof/>
                <w:webHidden/>
              </w:rPr>
              <w:fldChar w:fldCharType="end"/>
            </w:r>
          </w:hyperlink>
        </w:p>
        <w:p w14:paraId="25100320" w14:textId="18ACF34D" w:rsidR="008E2A26" w:rsidRDefault="00046E40" w:rsidP="008E2A26">
          <w:pPr>
            <w:pStyle w:val="TOC3"/>
            <w:tabs>
              <w:tab w:val="right" w:leader="dot" w:pos="9620"/>
            </w:tabs>
            <w:ind w:left="180"/>
            <w:rPr>
              <w:rFonts w:eastAsiaTheme="minorEastAsia"/>
              <w:noProof/>
            </w:rPr>
          </w:pPr>
          <w:hyperlink w:anchor="_Toc42706835" w:history="1">
            <w:r w:rsidR="008E2A26" w:rsidRPr="0069296A">
              <w:rPr>
                <w:rStyle w:val="Hyperlink"/>
                <w:noProof/>
              </w:rPr>
              <w:t>Privacy Framework</w:t>
            </w:r>
            <w:r w:rsidR="008E2A26">
              <w:rPr>
                <w:rStyle w:val="Hyperlink"/>
                <w:noProof/>
              </w:rPr>
              <w:t xml:space="preserve"> (NIST</w:t>
            </w:r>
            <w:r w:rsidR="008E2A26" w:rsidRPr="0069296A">
              <w:rPr>
                <w:rStyle w:val="Hyperlink"/>
                <w:noProof/>
              </w:rPr>
              <w:t>)</w:t>
            </w:r>
            <w:r w:rsidR="008E2A26">
              <w:rPr>
                <w:noProof/>
                <w:webHidden/>
              </w:rPr>
              <w:tab/>
            </w:r>
            <w:r w:rsidR="008E2A26">
              <w:rPr>
                <w:noProof/>
                <w:webHidden/>
              </w:rPr>
              <w:fldChar w:fldCharType="begin"/>
            </w:r>
            <w:r w:rsidR="008E2A26">
              <w:rPr>
                <w:noProof/>
                <w:webHidden/>
              </w:rPr>
              <w:instrText xml:space="preserve"> PAGEREF _Toc42706835 \h </w:instrText>
            </w:r>
            <w:r w:rsidR="008E2A26">
              <w:rPr>
                <w:noProof/>
                <w:webHidden/>
              </w:rPr>
            </w:r>
            <w:r w:rsidR="008E2A26">
              <w:rPr>
                <w:noProof/>
                <w:webHidden/>
              </w:rPr>
              <w:fldChar w:fldCharType="separate"/>
            </w:r>
            <w:r w:rsidR="00A33CEB">
              <w:rPr>
                <w:noProof/>
                <w:webHidden/>
              </w:rPr>
              <w:t>7</w:t>
            </w:r>
            <w:r w:rsidR="008E2A26">
              <w:rPr>
                <w:noProof/>
                <w:webHidden/>
              </w:rPr>
              <w:fldChar w:fldCharType="end"/>
            </w:r>
          </w:hyperlink>
        </w:p>
        <w:p w14:paraId="7254BC03" w14:textId="418B3912" w:rsidR="008E2A26" w:rsidRDefault="00046E40" w:rsidP="008E2A26">
          <w:pPr>
            <w:pStyle w:val="TOC3"/>
            <w:tabs>
              <w:tab w:val="right" w:leader="dot" w:pos="9620"/>
            </w:tabs>
            <w:ind w:left="180"/>
            <w:rPr>
              <w:rFonts w:eastAsiaTheme="minorEastAsia"/>
              <w:noProof/>
            </w:rPr>
          </w:pPr>
          <w:hyperlink w:anchor="_Toc42706836" w:history="1">
            <w:r w:rsidR="008E2A26" w:rsidRPr="0069296A">
              <w:rPr>
                <w:rStyle w:val="Hyperlink"/>
                <w:noProof/>
              </w:rPr>
              <w:t>Playbook in Support of the Federal Data Strategy</w:t>
            </w:r>
            <w:r w:rsidR="008E2A26">
              <w:rPr>
                <w:rStyle w:val="Hyperlink"/>
                <w:noProof/>
              </w:rPr>
              <w:t xml:space="preserve"> (OMB)</w:t>
            </w:r>
            <w:r w:rsidR="008E2A26">
              <w:rPr>
                <w:noProof/>
                <w:webHidden/>
              </w:rPr>
              <w:tab/>
            </w:r>
            <w:r w:rsidR="008E2A26">
              <w:rPr>
                <w:noProof/>
                <w:webHidden/>
              </w:rPr>
              <w:fldChar w:fldCharType="begin"/>
            </w:r>
            <w:r w:rsidR="008E2A26">
              <w:rPr>
                <w:noProof/>
                <w:webHidden/>
              </w:rPr>
              <w:instrText xml:space="preserve"> PAGEREF _Toc42706836 \h </w:instrText>
            </w:r>
            <w:r w:rsidR="008E2A26">
              <w:rPr>
                <w:noProof/>
                <w:webHidden/>
              </w:rPr>
            </w:r>
            <w:r w:rsidR="008E2A26">
              <w:rPr>
                <w:noProof/>
                <w:webHidden/>
              </w:rPr>
              <w:fldChar w:fldCharType="separate"/>
            </w:r>
            <w:r w:rsidR="00A33CEB">
              <w:rPr>
                <w:noProof/>
                <w:webHidden/>
              </w:rPr>
              <w:t>8</w:t>
            </w:r>
            <w:r w:rsidR="008E2A26">
              <w:rPr>
                <w:noProof/>
                <w:webHidden/>
              </w:rPr>
              <w:fldChar w:fldCharType="end"/>
            </w:r>
          </w:hyperlink>
        </w:p>
        <w:p w14:paraId="37BDB3AE" w14:textId="0931C039" w:rsidR="008E2A26" w:rsidRDefault="00046E40" w:rsidP="008E2A26">
          <w:pPr>
            <w:pStyle w:val="TOC3"/>
            <w:tabs>
              <w:tab w:val="right" w:leader="dot" w:pos="9620"/>
            </w:tabs>
            <w:ind w:left="180"/>
            <w:rPr>
              <w:rFonts w:eastAsiaTheme="minorEastAsia"/>
              <w:noProof/>
            </w:rPr>
          </w:pPr>
          <w:hyperlink w:anchor="_Toc42706837" w:history="1">
            <w:r w:rsidR="008E2A26" w:rsidRPr="0069296A">
              <w:rPr>
                <w:rStyle w:val="Hyperlink"/>
                <w:noProof/>
              </w:rPr>
              <w:t>P-20W+ Data Governance</w:t>
            </w:r>
            <w:r w:rsidR="008E2A26">
              <w:rPr>
                <w:rStyle w:val="Hyperlink"/>
                <w:noProof/>
              </w:rPr>
              <w:t xml:space="preserve"> (ED)</w:t>
            </w:r>
            <w:r w:rsidR="008E2A26">
              <w:rPr>
                <w:noProof/>
                <w:webHidden/>
              </w:rPr>
              <w:tab/>
            </w:r>
            <w:r w:rsidR="008E2A26">
              <w:rPr>
                <w:noProof/>
                <w:webHidden/>
              </w:rPr>
              <w:fldChar w:fldCharType="begin"/>
            </w:r>
            <w:r w:rsidR="008E2A26">
              <w:rPr>
                <w:noProof/>
                <w:webHidden/>
              </w:rPr>
              <w:instrText xml:space="preserve"> PAGEREF _Toc42706837 \h </w:instrText>
            </w:r>
            <w:r w:rsidR="008E2A26">
              <w:rPr>
                <w:noProof/>
                <w:webHidden/>
              </w:rPr>
            </w:r>
            <w:r w:rsidR="008E2A26">
              <w:rPr>
                <w:noProof/>
                <w:webHidden/>
              </w:rPr>
              <w:fldChar w:fldCharType="separate"/>
            </w:r>
            <w:r w:rsidR="00A33CEB">
              <w:rPr>
                <w:noProof/>
                <w:webHidden/>
              </w:rPr>
              <w:t>9</w:t>
            </w:r>
            <w:r w:rsidR="008E2A26">
              <w:rPr>
                <w:noProof/>
                <w:webHidden/>
              </w:rPr>
              <w:fldChar w:fldCharType="end"/>
            </w:r>
          </w:hyperlink>
        </w:p>
        <w:p w14:paraId="03A2E5F8" w14:textId="4120C3AA" w:rsidR="008E2A26" w:rsidRDefault="00046E40" w:rsidP="008E2A26">
          <w:pPr>
            <w:pStyle w:val="TOC3"/>
            <w:tabs>
              <w:tab w:val="right" w:leader="dot" w:pos="9620"/>
            </w:tabs>
            <w:ind w:left="180"/>
            <w:rPr>
              <w:rFonts w:eastAsiaTheme="minorEastAsia"/>
              <w:noProof/>
            </w:rPr>
          </w:pPr>
          <w:hyperlink w:anchor="_Toc42706838" w:history="1">
            <w:r w:rsidR="008E2A26" w:rsidRPr="0069296A">
              <w:rPr>
                <w:rStyle w:val="Hyperlink"/>
                <w:noProof/>
              </w:rPr>
              <w:t>Data Governance Plan: Volume 1 – Data Governance Primer</w:t>
            </w:r>
            <w:r w:rsidR="00937718">
              <w:rPr>
                <w:rStyle w:val="Hyperlink"/>
                <w:noProof/>
              </w:rPr>
              <w:t xml:space="preserve"> (DOT)</w:t>
            </w:r>
            <w:r w:rsidR="008E2A26">
              <w:rPr>
                <w:noProof/>
                <w:webHidden/>
              </w:rPr>
              <w:tab/>
            </w:r>
            <w:r w:rsidR="008E2A26">
              <w:rPr>
                <w:noProof/>
                <w:webHidden/>
              </w:rPr>
              <w:fldChar w:fldCharType="begin"/>
            </w:r>
            <w:r w:rsidR="008E2A26">
              <w:rPr>
                <w:noProof/>
                <w:webHidden/>
              </w:rPr>
              <w:instrText xml:space="preserve"> PAGEREF _Toc42706838 \h </w:instrText>
            </w:r>
            <w:r w:rsidR="008E2A26">
              <w:rPr>
                <w:noProof/>
                <w:webHidden/>
              </w:rPr>
            </w:r>
            <w:r w:rsidR="008E2A26">
              <w:rPr>
                <w:noProof/>
                <w:webHidden/>
              </w:rPr>
              <w:fldChar w:fldCharType="separate"/>
            </w:r>
            <w:r w:rsidR="00A33CEB">
              <w:rPr>
                <w:noProof/>
                <w:webHidden/>
              </w:rPr>
              <w:t>10</w:t>
            </w:r>
            <w:r w:rsidR="008E2A26">
              <w:rPr>
                <w:noProof/>
                <w:webHidden/>
              </w:rPr>
              <w:fldChar w:fldCharType="end"/>
            </w:r>
          </w:hyperlink>
        </w:p>
        <w:p w14:paraId="03AAE576" w14:textId="1B5D00B6" w:rsidR="008E2A26" w:rsidRDefault="008E2A26">
          <w:r>
            <w:rPr>
              <w:b/>
              <w:bCs/>
              <w:noProof/>
            </w:rPr>
            <w:fldChar w:fldCharType="end"/>
          </w:r>
        </w:p>
      </w:sdtContent>
    </w:sdt>
    <w:p w14:paraId="0DF280A2" w14:textId="77777777" w:rsidR="008E2A26" w:rsidRDefault="00C81126" w:rsidP="00193E70">
      <w:pPr>
        <w:spacing w:after="0"/>
        <w:rPr>
          <w:color w:val="FFFFFF" w:themeColor="background1"/>
        </w:rPr>
        <w:sectPr w:rsidR="008E2A26" w:rsidSect="00937718">
          <w:footerReference w:type="first" r:id="rId11"/>
          <w:pgSz w:w="12240" w:h="15840"/>
          <w:pgMar w:top="1440" w:right="1440" w:bottom="1440" w:left="1170" w:header="360" w:footer="720" w:gutter="0"/>
          <w:pgNumType w:fmt="lowerRoman" w:start="1"/>
          <w:cols w:space="720"/>
          <w:titlePg/>
          <w:docGrid w:linePitch="360"/>
        </w:sectPr>
      </w:pPr>
      <w:r w:rsidRPr="006B6EA8">
        <w:rPr>
          <w:color w:val="FFFFFF" w:themeColor="background1"/>
        </w:rPr>
        <w:t>020</w:t>
      </w:r>
    </w:p>
    <w:p w14:paraId="3EDDB3A3" w14:textId="77777777" w:rsidR="00A07086" w:rsidRDefault="00520105" w:rsidP="00A07086">
      <w:pPr>
        <w:pStyle w:val="Heading2"/>
      </w:pPr>
      <w:bookmarkStart w:id="17" w:name="_Toc40720798"/>
      <w:bookmarkStart w:id="18" w:name="_Toc42706828"/>
      <w:r w:rsidRPr="00655F02">
        <w:lastRenderedPageBreak/>
        <w:t>Purpose</w:t>
      </w:r>
      <w:bookmarkEnd w:id="17"/>
      <w:bookmarkEnd w:id="18"/>
    </w:p>
    <w:p w14:paraId="30C60036" w14:textId="672D7E20" w:rsidR="00A07086" w:rsidRDefault="00A07086" w:rsidP="00A07086">
      <w:r>
        <w:t xml:space="preserve">This annotated bibliography was developed by the Data Governance Standards </w:t>
      </w:r>
      <w:r w:rsidR="00FF488C">
        <w:t>W</w:t>
      </w:r>
      <w:r>
        <w:t xml:space="preserve">orking </w:t>
      </w:r>
      <w:r w:rsidR="00FF488C">
        <w:t>G</w:t>
      </w:r>
      <w:r>
        <w:t xml:space="preserve">roup of the ACL Data Council. Its purpose is to help ACL establish relevant parameters for </w:t>
      </w:r>
      <w:r w:rsidR="00C40730">
        <w:t xml:space="preserve">ACL </w:t>
      </w:r>
      <w:r>
        <w:t xml:space="preserve">data governance standards that are based on and guided by existing </w:t>
      </w:r>
      <w:r w:rsidR="00142892">
        <w:t>F</w:t>
      </w:r>
      <w:r>
        <w:t>ederal data standards, frameworks, and models</w:t>
      </w:r>
      <w:r w:rsidR="00750162">
        <w:t xml:space="preserve"> (resources)</w:t>
      </w:r>
      <w:r>
        <w:t xml:space="preserve">. </w:t>
      </w:r>
    </w:p>
    <w:p w14:paraId="560E82F3" w14:textId="4FF66086" w:rsidR="00D85EDC" w:rsidRDefault="00A07086" w:rsidP="00A07086">
      <w:r>
        <w:t xml:space="preserve">It is intended to be a practical tool to help ACL staff enhance their understanding of relevant </w:t>
      </w:r>
      <w:r w:rsidR="00142892">
        <w:t>F</w:t>
      </w:r>
      <w:r>
        <w:t>ederal data guidance</w:t>
      </w:r>
      <w:r w:rsidR="00D85EDC">
        <w:t xml:space="preserve"> and how the guidance applies to ACL’s data governance standards at large and to data governance standards for specific ACL programs</w:t>
      </w:r>
      <w:r w:rsidR="006F737F">
        <w:t>. It constitutes the foundation for the development of future products to help improve ACL data processes and standards.</w:t>
      </w:r>
    </w:p>
    <w:p w14:paraId="0995F129" w14:textId="6AD9884B" w:rsidR="006F737F" w:rsidRDefault="00750162" w:rsidP="006F737F">
      <w:pPr>
        <w:pStyle w:val="Heading2"/>
      </w:pPr>
      <w:bookmarkStart w:id="19" w:name="_Toc42706829"/>
      <w:r>
        <w:t>Content</w:t>
      </w:r>
      <w:bookmarkEnd w:id="19"/>
    </w:p>
    <w:p w14:paraId="0E82C964" w14:textId="6DE240C9" w:rsidR="000B5513" w:rsidRDefault="00750162" w:rsidP="00A07086">
      <w:pPr>
        <w:spacing w:after="240"/>
        <w:sectPr w:rsidR="000B5513" w:rsidSect="000B5513">
          <w:pgSz w:w="12240" w:h="15840"/>
          <w:pgMar w:top="1440" w:right="1440" w:bottom="1440" w:left="1170" w:header="360" w:footer="720" w:gutter="0"/>
          <w:pgNumType w:start="1"/>
          <w:cols w:space="720"/>
          <w:titlePg/>
          <w:docGrid w:linePitch="360"/>
        </w:sectPr>
      </w:pPr>
      <w:r>
        <w:t xml:space="preserve">The annotated bibliography provides guidance from nine federal resources. Each resource is listed on a separate page. At the top of each page, the title of the document and the lead agency for the resource is listed, followed by a link to the resource. Each page also includes three key sections for the resource: the purpose of the resource, how it applies to </w:t>
      </w:r>
      <w:r w:rsidR="008E667C">
        <w:t>ACL at large</w:t>
      </w:r>
      <w:r>
        <w:t>, and i</w:t>
      </w:r>
      <w:r w:rsidR="000B5513">
        <w:t>f applicabl</w:t>
      </w:r>
      <w:r>
        <w:t>e, how it applies to</w:t>
      </w:r>
      <w:r w:rsidR="000B5513">
        <w:t xml:space="preserve"> specific ACL Centers or programs</w:t>
      </w:r>
      <w:r>
        <w:t>.</w:t>
      </w:r>
    </w:p>
    <w:tbl>
      <w:tblPr>
        <w:tblStyle w:val="TableGrid"/>
        <w:tblW w:w="0" w:type="auto"/>
        <w:shd w:val="clear" w:color="auto" w:fill="2F5496" w:themeFill="accent1" w:themeFillShade="BF"/>
        <w:tblLook w:val="04A0" w:firstRow="1" w:lastRow="0" w:firstColumn="1" w:lastColumn="0" w:noHBand="0" w:noVBand="1"/>
        <w:tblCaption w:val="The National Information Exchange Model (NIEM)"/>
        <w:tblDescription w:val="Agency: Children’s Bureau, Administration for Children &amp; Families&#10;"/>
      </w:tblPr>
      <w:tblGrid>
        <w:gridCol w:w="9620"/>
      </w:tblGrid>
      <w:tr w:rsidR="00A12B51" w:rsidRPr="00A572F0" w14:paraId="29E5AC2A" w14:textId="77777777" w:rsidTr="00711387">
        <w:trPr>
          <w:trHeight w:val="917"/>
          <w:tblHeader/>
        </w:trPr>
        <w:tc>
          <w:tcPr>
            <w:tcW w:w="9620" w:type="dxa"/>
            <w:shd w:val="clear" w:color="auto" w:fill="2F5496" w:themeFill="accent1" w:themeFillShade="BF"/>
            <w:vAlign w:val="center"/>
          </w:tcPr>
          <w:p w14:paraId="51575F89" w14:textId="77777777" w:rsidR="00A12B51" w:rsidRPr="008E2A26" w:rsidRDefault="00A12B51" w:rsidP="004073F7">
            <w:pPr>
              <w:pStyle w:val="Heading3"/>
              <w:numPr>
                <w:ilvl w:val="0"/>
                <w:numId w:val="0"/>
              </w:numPr>
              <w:outlineLvl w:val="2"/>
              <w:rPr>
                <w:rStyle w:val="Heading3Char"/>
                <w:b/>
              </w:rPr>
            </w:pPr>
            <w:bookmarkStart w:id="20" w:name="_Toc42706830"/>
            <w:r w:rsidRPr="008E2A26">
              <w:lastRenderedPageBreak/>
              <w:t xml:space="preserve">Title: </w:t>
            </w:r>
            <w:r w:rsidRPr="008E2A26">
              <w:rPr>
                <w:rStyle w:val="Heading3Char"/>
                <w:b/>
              </w:rPr>
              <w:t>The National Information Exchange Model (NIEM)</w:t>
            </w:r>
            <w:bookmarkEnd w:id="20"/>
          </w:p>
          <w:p w14:paraId="1FF8E13D" w14:textId="77777777" w:rsidR="00A12B51" w:rsidRPr="00A572F0" w:rsidRDefault="00A12B51" w:rsidP="004073F7">
            <w:pPr>
              <w:rPr>
                <w:color w:val="FFFFFF" w:themeColor="background1"/>
                <w:bdr w:val="none" w:sz="0" w:space="0" w:color="auto" w:frame="1"/>
              </w:rPr>
            </w:pPr>
            <w:r w:rsidRPr="00A572F0">
              <w:rPr>
                <w:b/>
                <w:bCs/>
                <w:color w:val="FFFFFF" w:themeColor="background1"/>
                <w:bdr w:val="none" w:sz="0" w:space="0" w:color="auto" w:frame="1"/>
              </w:rPr>
              <w:t>Agency: Children’s Bureau, Administration for Children &amp; Families</w:t>
            </w:r>
          </w:p>
        </w:tc>
      </w:tr>
    </w:tbl>
    <w:p w14:paraId="293DD417" w14:textId="02183770" w:rsidR="00A572F0" w:rsidRPr="006F5F1D" w:rsidRDefault="00A572F0" w:rsidP="003F6FEE">
      <w:pPr>
        <w:spacing w:before="220"/>
        <w:rPr>
          <w:b/>
          <w:bCs/>
        </w:rPr>
      </w:pPr>
      <w:r w:rsidRPr="006F5F1D">
        <w:rPr>
          <w:b/>
          <w:bCs/>
        </w:rPr>
        <w:t>Where can I find it?</w:t>
      </w:r>
    </w:p>
    <w:p w14:paraId="09DC617B" w14:textId="543C0812" w:rsidR="00A572F0" w:rsidRPr="006F5F1D" w:rsidRDefault="00046E40" w:rsidP="00A572F0">
      <w:pPr>
        <w:pStyle w:val="ListParagraph"/>
        <w:numPr>
          <w:ilvl w:val="0"/>
          <w:numId w:val="21"/>
        </w:numPr>
        <w:rPr>
          <w:rStyle w:val="Hyperlink"/>
          <w:color w:val="auto"/>
          <w:u w:val="none"/>
        </w:rPr>
      </w:pPr>
      <w:hyperlink r:id="rId12" w:history="1">
        <w:r w:rsidR="00A572F0" w:rsidRPr="00AA55FA">
          <w:rPr>
            <w:rStyle w:val="Hyperlink"/>
            <w:rFonts w:cstheme="minorHAnsi"/>
            <w:color w:val="0563C1"/>
          </w:rPr>
          <w:t>National Information Exchange Model</w:t>
        </w:r>
      </w:hyperlink>
    </w:p>
    <w:p w14:paraId="40871C64" w14:textId="7BE55960" w:rsidR="00A572F0" w:rsidRPr="006F5F1D" w:rsidRDefault="00A572F0" w:rsidP="003F6FEE">
      <w:pPr>
        <w:spacing w:before="220"/>
        <w:rPr>
          <w:b/>
          <w:bCs/>
        </w:rPr>
      </w:pPr>
      <w:r w:rsidRPr="006F5F1D">
        <w:rPr>
          <w:b/>
          <w:bCs/>
        </w:rPr>
        <w:t>What is the purpose?</w:t>
      </w:r>
    </w:p>
    <w:p w14:paraId="023C12C9" w14:textId="6AA2AD00" w:rsidR="00A572F0" w:rsidRPr="00A572F0" w:rsidRDefault="00A572F0" w:rsidP="006F5F1D">
      <w:pPr>
        <w:pStyle w:val="ListParagraph"/>
        <w:numPr>
          <w:ilvl w:val="0"/>
          <w:numId w:val="21"/>
        </w:numPr>
        <w:spacing w:after="120"/>
        <w:contextualSpacing w:val="0"/>
      </w:pPr>
      <w:r>
        <w:rPr>
          <w:rFonts w:cstheme="minorHAnsi"/>
          <w:color w:val="19150F"/>
        </w:rPr>
        <w:t>A</w:t>
      </w:r>
      <w:r w:rsidRPr="00A572F0">
        <w:rPr>
          <w:rFonts w:cstheme="minorHAnsi"/>
          <w:i/>
          <w:iCs/>
          <w:color w:val="19150F"/>
        </w:rPr>
        <w:t> </w:t>
      </w:r>
      <w:r w:rsidRPr="00A572F0">
        <w:rPr>
          <w:rStyle w:val="Emphasis"/>
          <w:rFonts w:cstheme="minorHAnsi"/>
          <w:i w:val="0"/>
          <w:iCs w:val="0"/>
          <w:color w:val="19150F"/>
          <w:bdr w:val="none" w:sz="0" w:space="0" w:color="auto" w:frame="1"/>
        </w:rPr>
        <w:t>program-driven, standards-based, flexible</w:t>
      </w:r>
      <w:r w:rsidRPr="002A64B6">
        <w:rPr>
          <w:rStyle w:val="Emphasis"/>
          <w:rFonts w:cstheme="minorHAnsi"/>
          <w:color w:val="19150F"/>
          <w:bdr w:val="none" w:sz="0" w:space="0" w:color="auto" w:frame="1"/>
        </w:rPr>
        <w:t> </w:t>
      </w:r>
      <w:r w:rsidRPr="002A64B6">
        <w:rPr>
          <w:rFonts w:cstheme="minorHAnsi"/>
          <w:color w:val="19150F"/>
        </w:rPr>
        <w:t>approach to exchanging information</w:t>
      </w:r>
      <w:r w:rsidR="006F5F1D">
        <w:rPr>
          <w:rFonts w:cstheme="minorHAnsi"/>
          <w:color w:val="19150F"/>
        </w:rPr>
        <w:t xml:space="preserve"> </w:t>
      </w:r>
      <w:r w:rsidRPr="006F5F1D">
        <w:rPr>
          <w:rFonts w:cstheme="minorHAnsi"/>
          <w:color w:val="19150F"/>
        </w:rPr>
        <w:t>to support collaboration, coordinate service delivery, and improve outcomes for children and families</w:t>
      </w:r>
    </w:p>
    <w:p w14:paraId="19E5F0FB" w14:textId="77777777" w:rsidR="006F5F1D" w:rsidRPr="006F5F1D" w:rsidRDefault="006F5F1D" w:rsidP="006F5F1D">
      <w:pPr>
        <w:pStyle w:val="ListParagraph"/>
        <w:numPr>
          <w:ilvl w:val="0"/>
          <w:numId w:val="21"/>
        </w:numPr>
        <w:spacing w:after="120"/>
        <w:contextualSpacing w:val="0"/>
      </w:pPr>
      <w:r>
        <w:rPr>
          <w:rFonts w:cstheme="minorHAnsi"/>
          <w:color w:val="19150F"/>
        </w:rPr>
        <w:t>M</w:t>
      </w:r>
      <w:r w:rsidR="00A572F0" w:rsidRPr="00A572F0">
        <w:rPr>
          <w:rFonts w:cstheme="minorHAnsi"/>
          <w:color w:val="19150F"/>
        </w:rPr>
        <w:t>aintains a continually growing collection of standardized documentation, complete data exchanges, and individual data elements developed by programs to meet data exchange needs</w:t>
      </w:r>
    </w:p>
    <w:p w14:paraId="4B81A773" w14:textId="776AA0E9" w:rsidR="00A572F0" w:rsidRPr="002A64B6" w:rsidRDefault="006F5F1D" w:rsidP="00ED0A7D">
      <w:pPr>
        <w:pStyle w:val="ListParagraph"/>
        <w:numPr>
          <w:ilvl w:val="0"/>
          <w:numId w:val="21"/>
        </w:numPr>
        <w:contextualSpacing w:val="0"/>
      </w:pPr>
      <w:r>
        <w:t>For state</w:t>
      </w:r>
      <w:r w:rsidR="0028736F">
        <w:t>s</w:t>
      </w:r>
      <w:r>
        <w:t xml:space="preserve"> to reuse and modify</w:t>
      </w:r>
      <w:r w:rsidR="00A572F0" w:rsidRPr="002A64B6">
        <w:t xml:space="preserve"> </w:t>
      </w:r>
      <w:r>
        <w:t xml:space="preserve">existing </w:t>
      </w:r>
      <w:r w:rsidR="00A572F0" w:rsidRPr="002A64B6">
        <w:t>products</w:t>
      </w:r>
      <w:r>
        <w:t xml:space="preserve"> and develop and share</w:t>
      </w:r>
      <w:r w:rsidR="00A572F0" w:rsidRPr="002A64B6">
        <w:t xml:space="preserve"> new products</w:t>
      </w:r>
    </w:p>
    <w:p w14:paraId="3CD16890" w14:textId="68A32D0E" w:rsidR="006F5F1D" w:rsidRDefault="006F5F1D" w:rsidP="00ED0A7D">
      <w:pPr>
        <w:pStyle w:val="ListParagraph"/>
        <w:spacing w:before="220"/>
        <w:ind w:left="0"/>
        <w:contextualSpacing w:val="0"/>
        <w:rPr>
          <w:b/>
          <w:bCs/>
        </w:rPr>
      </w:pPr>
      <w:r>
        <w:rPr>
          <w:b/>
          <w:bCs/>
        </w:rPr>
        <w:t>How does it apply to ACL?</w:t>
      </w:r>
    </w:p>
    <w:p w14:paraId="7C15DD01" w14:textId="658C087E" w:rsidR="006F5F1D" w:rsidRDefault="006F5F1D" w:rsidP="00AC26C5">
      <w:pPr>
        <w:pStyle w:val="ListParagraph"/>
        <w:numPr>
          <w:ilvl w:val="0"/>
          <w:numId w:val="23"/>
        </w:numPr>
        <w:spacing w:after="120"/>
        <w:contextualSpacing w:val="0"/>
      </w:pPr>
      <w:r>
        <w:t xml:space="preserve">ACL may join the NIEM’s Human Services (HS) workgroup, which manages the HS domain; the HS </w:t>
      </w:r>
      <w:r w:rsidRPr="002A64B6">
        <w:t>domain provides a mature and proven process for managing a robust vocabulary for reuse across a number of data-sharing contexts</w:t>
      </w:r>
      <w:r>
        <w:t xml:space="preserve">, </w:t>
      </w:r>
      <w:r w:rsidRPr="002A64B6">
        <w:t>to create and encourage greater collaboration and service integration among programs and agencies</w:t>
      </w:r>
    </w:p>
    <w:p w14:paraId="482EC195" w14:textId="0BE001DC" w:rsidR="00AC26C5" w:rsidRDefault="00AC26C5" w:rsidP="00ED0A7D">
      <w:pPr>
        <w:pStyle w:val="ListParagraph"/>
        <w:numPr>
          <w:ilvl w:val="0"/>
          <w:numId w:val="23"/>
        </w:numPr>
        <w:contextualSpacing w:val="0"/>
      </w:pPr>
      <w:r w:rsidRPr="00AC26C5">
        <w:t xml:space="preserve">Adoption of NIEM approaches to information exchange, as well as participation in the </w:t>
      </w:r>
      <w:r>
        <w:t xml:space="preserve">HS </w:t>
      </w:r>
      <w:r w:rsidRPr="00AC26C5">
        <w:t>domain, could increase interoperability within ACL and across centers</w:t>
      </w:r>
    </w:p>
    <w:p w14:paraId="17806E58" w14:textId="43188126" w:rsidR="002825AE" w:rsidRDefault="002825AE" w:rsidP="003F6FEE">
      <w:pPr>
        <w:pStyle w:val="ListParagraph"/>
        <w:spacing w:before="220"/>
        <w:ind w:left="0"/>
        <w:contextualSpacing w:val="0"/>
        <w:rPr>
          <w:b/>
          <w:bCs/>
        </w:rPr>
      </w:pPr>
      <w:r>
        <w:rPr>
          <w:b/>
          <w:bCs/>
        </w:rPr>
        <w:t>How does it apply to specific ACL Centers/Programs?</w:t>
      </w:r>
    </w:p>
    <w:p w14:paraId="3BF7D9D9" w14:textId="77777777" w:rsidR="0012371E" w:rsidRDefault="0012371E" w:rsidP="00A12B51">
      <w:pPr>
        <w:pStyle w:val="ListParagraph"/>
        <w:numPr>
          <w:ilvl w:val="0"/>
          <w:numId w:val="26"/>
        </w:numPr>
        <w:spacing w:after="120"/>
        <w:ind w:left="720"/>
        <w:contextualSpacing w:val="0"/>
      </w:pPr>
      <w:r>
        <w:t xml:space="preserve">Provides a common language for projects with OPE regarding the development of performance measurement data and sharing data in ACL’s Data Presentation site (www.AGID.ACL.Gov) </w:t>
      </w:r>
    </w:p>
    <w:p w14:paraId="3B27D0F9" w14:textId="77777777" w:rsidR="00A12B51" w:rsidRDefault="0012371E" w:rsidP="00A12B51">
      <w:pPr>
        <w:pStyle w:val="ListParagraph"/>
        <w:numPr>
          <w:ilvl w:val="0"/>
          <w:numId w:val="26"/>
        </w:numPr>
        <w:spacing w:after="120"/>
        <w:ind w:left="720"/>
        <w:contextualSpacing w:val="0"/>
      </w:pPr>
      <w:r>
        <w:t>Can serve as a foundation as offices work with OIRM on data collection websites</w:t>
      </w:r>
    </w:p>
    <w:p w14:paraId="40E44EE5" w14:textId="656128B3" w:rsidR="00311D53" w:rsidRDefault="0012371E" w:rsidP="00A12B51">
      <w:pPr>
        <w:pStyle w:val="ListParagraph"/>
        <w:numPr>
          <w:ilvl w:val="0"/>
          <w:numId w:val="26"/>
        </w:numPr>
        <w:spacing w:after="120"/>
        <w:ind w:left="720"/>
        <w:contextualSpacing w:val="0"/>
      </w:pPr>
      <w:r>
        <w:t>As offices work with other agencies to request data, can serve as a structure for start</w:t>
      </w:r>
      <w:r w:rsidR="00A12B51">
        <w:t>ing</w:t>
      </w:r>
      <w:r>
        <w:t xml:space="preserve"> those conversations (e.g., Predicting Risk of Adult Maltreatment; HHS Data use case related to employment)</w:t>
      </w:r>
      <w:r w:rsidR="00311D53" w:rsidRPr="00311D53">
        <w:t xml:space="preserve"> </w:t>
      </w:r>
    </w:p>
    <w:p w14:paraId="0BCA5783" w14:textId="70CF1BA2" w:rsidR="00311D53" w:rsidRDefault="00311D53" w:rsidP="00A12B51">
      <w:pPr>
        <w:pStyle w:val="ListParagraph"/>
        <w:numPr>
          <w:ilvl w:val="0"/>
          <w:numId w:val="26"/>
        </w:numPr>
        <w:spacing w:after="120"/>
        <w:ind w:left="720"/>
        <w:contextualSpacing w:val="0"/>
      </w:pPr>
      <w:r>
        <w:t>Centers that receive data from states</w:t>
      </w:r>
      <w:r w:rsidR="00A12B51">
        <w:t>’</w:t>
      </w:r>
      <w:r>
        <w:t xml:space="preserve"> data exchange protocols to assist </w:t>
      </w:r>
      <w:r w:rsidR="00A12B51">
        <w:t>with</w:t>
      </w:r>
      <w:r>
        <w:t xml:space="preserve"> data sharing</w:t>
      </w:r>
    </w:p>
    <w:p w14:paraId="40DEDF41" w14:textId="77777777" w:rsidR="00A12B51" w:rsidRDefault="00311D53" w:rsidP="00A12B51">
      <w:pPr>
        <w:pStyle w:val="ListParagraph"/>
        <w:numPr>
          <w:ilvl w:val="0"/>
          <w:numId w:val="26"/>
        </w:numPr>
        <w:spacing w:after="0"/>
        <w:ind w:left="720"/>
      </w:pPr>
      <w:r>
        <w:t>Centers can identify partners where implemented data sharing methods would enhance collaboration and improve outcomes for ACL’s populations</w:t>
      </w:r>
    </w:p>
    <w:p w14:paraId="23EDB7BE" w14:textId="14031F97" w:rsidR="0001129D" w:rsidRPr="0001129D" w:rsidRDefault="0001129D" w:rsidP="003F6FEE">
      <w:pPr>
        <w:spacing w:before="440"/>
        <w:sectPr w:rsidR="0001129D" w:rsidRPr="0001129D" w:rsidSect="005070DC">
          <w:pgSz w:w="12240" w:h="15840"/>
          <w:pgMar w:top="1440" w:right="1440" w:bottom="1440" w:left="1170" w:header="360" w:footer="720" w:gutter="0"/>
          <w:cols w:space="720"/>
          <w:titlePg/>
          <w:docGrid w:linePitch="360"/>
        </w:sectPr>
      </w:pPr>
      <w:r w:rsidRPr="00A12B51">
        <w:rPr>
          <w:b/>
        </w:rPr>
        <w:t xml:space="preserve">Keywords: </w:t>
      </w:r>
      <w:r>
        <w:t>Data sharing; Standardization; Definition</w:t>
      </w:r>
      <w:r w:rsidR="00A12B51">
        <w:t>s</w:t>
      </w:r>
    </w:p>
    <w:tbl>
      <w:tblPr>
        <w:tblStyle w:val="TableGrid"/>
        <w:tblW w:w="9895" w:type="dxa"/>
        <w:shd w:val="clear" w:color="auto" w:fill="2F5496" w:themeFill="accent1" w:themeFillShade="BF"/>
        <w:tblLook w:val="04A0" w:firstRow="1" w:lastRow="0" w:firstColumn="1" w:lastColumn="0" w:noHBand="0" w:noVBand="1"/>
        <w:tblCaption w:val="The Federal Government Data Maturity Model"/>
        <w:tblDescription w:val="Agency: Executive Office of the President &#10;"/>
      </w:tblPr>
      <w:tblGrid>
        <w:gridCol w:w="9895"/>
      </w:tblGrid>
      <w:tr w:rsidR="00A12B51" w:rsidRPr="00A572F0" w14:paraId="690DAD73" w14:textId="77777777" w:rsidTr="00711387">
        <w:trPr>
          <w:cantSplit/>
          <w:trHeight w:val="917"/>
          <w:tblHeader/>
        </w:trPr>
        <w:tc>
          <w:tcPr>
            <w:tcW w:w="9895" w:type="dxa"/>
            <w:shd w:val="clear" w:color="auto" w:fill="2F5496" w:themeFill="accent1" w:themeFillShade="BF"/>
            <w:vAlign w:val="center"/>
          </w:tcPr>
          <w:p w14:paraId="76E744D2" w14:textId="77777777" w:rsidR="00A12B51" w:rsidRPr="008E2A26" w:rsidRDefault="00A12B51" w:rsidP="004073F7">
            <w:pPr>
              <w:pStyle w:val="Heading3"/>
              <w:numPr>
                <w:ilvl w:val="0"/>
                <w:numId w:val="0"/>
              </w:numPr>
              <w:outlineLvl w:val="2"/>
            </w:pPr>
            <w:bookmarkStart w:id="21" w:name="_Toc42706831"/>
            <w:bookmarkStart w:id="22" w:name="_Hlk40706444"/>
            <w:r w:rsidRPr="008E2A26">
              <w:lastRenderedPageBreak/>
              <w:t xml:space="preserve">Title: </w:t>
            </w:r>
            <w:r w:rsidRPr="008E2A26">
              <w:rPr>
                <w:rStyle w:val="Heading3Char"/>
                <w:b/>
              </w:rPr>
              <w:t>The Federal Government Data Maturity Model</w:t>
            </w:r>
            <w:bookmarkEnd w:id="21"/>
          </w:p>
          <w:p w14:paraId="21482DB1" w14:textId="77777777" w:rsidR="00A12B51" w:rsidRPr="00A572F0" w:rsidRDefault="00A12B51" w:rsidP="004073F7">
            <w:pPr>
              <w:rPr>
                <w:color w:val="FFFFFF" w:themeColor="background1"/>
                <w:bdr w:val="none" w:sz="0" w:space="0" w:color="auto" w:frame="1"/>
              </w:rPr>
            </w:pPr>
            <w:r w:rsidRPr="00A572F0">
              <w:rPr>
                <w:b/>
                <w:bCs/>
                <w:color w:val="FFFFFF" w:themeColor="background1"/>
                <w:bdr w:val="none" w:sz="0" w:space="0" w:color="auto" w:frame="1"/>
              </w:rPr>
              <w:t xml:space="preserve">Agency: </w:t>
            </w:r>
            <w:r w:rsidRPr="000975FE">
              <w:rPr>
                <w:b/>
                <w:bCs/>
                <w:color w:val="FFFFFF" w:themeColor="background1"/>
                <w:bdr w:val="none" w:sz="0" w:space="0" w:color="auto" w:frame="1"/>
              </w:rPr>
              <w:t xml:space="preserve">Executive Office of the President </w:t>
            </w:r>
          </w:p>
        </w:tc>
      </w:tr>
    </w:tbl>
    <w:bookmarkEnd w:id="22"/>
    <w:p w14:paraId="0FE70082" w14:textId="77777777" w:rsidR="000975FE" w:rsidRPr="006F5F1D" w:rsidRDefault="000975FE" w:rsidP="003F6FEE">
      <w:pPr>
        <w:spacing w:before="220"/>
        <w:rPr>
          <w:b/>
          <w:bCs/>
        </w:rPr>
      </w:pPr>
      <w:r w:rsidRPr="006F5F1D">
        <w:rPr>
          <w:b/>
          <w:bCs/>
        </w:rPr>
        <w:t>Where can I find it?</w:t>
      </w:r>
    </w:p>
    <w:p w14:paraId="5B3904BB" w14:textId="2A7E602D" w:rsidR="000975FE" w:rsidRPr="005367DB" w:rsidRDefault="00046E40" w:rsidP="000975FE">
      <w:pPr>
        <w:pStyle w:val="ListParagraph"/>
        <w:numPr>
          <w:ilvl w:val="0"/>
          <w:numId w:val="21"/>
        </w:numPr>
        <w:rPr>
          <w:rStyle w:val="Hyperlink"/>
          <w:color w:val="auto"/>
          <w:u w:val="none"/>
        </w:rPr>
      </w:pPr>
      <w:hyperlink r:id="rId13" w:history="1">
        <w:r w:rsidR="000975FE" w:rsidRPr="00230DFB">
          <w:rPr>
            <w:rStyle w:val="Hyperlink"/>
          </w:rPr>
          <w:t>Federal Government</w:t>
        </w:r>
        <w:r w:rsidR="000975FE" w:rsidRPr="000975FE">
          <w:rPr>
            <w:rStyle w:val="Hyperlink"/>
            <w:color w:val="0563C1"/>
          </w:rPr>
          <w:t xml:space="preserve"> Data Maturity Model</w:t>
        </w:r>
      </w:hyperlink>
    </w:p>
    <w:p w14:paraId="4569A900" w14:textId="77777777" w:rsidR="000975FE" w:rsidRPr="006F5F1D" w:rsidRDefault="000975FE" w:rsidP="003F6FEE">
      <w:pPr>
        <w:spacing w:before="220"/>
        <w:rPr>
          <w:b/>
          <w:bCs/>
        </w:rPr>
      </w:pPr>
      <w:r w:rsidRPr="006F5F1D">
        <w:rPr>
          <w:b/>
          <w:bCs/>
        </w:rPr>
        <w:t>What is the purpose?</w:t>
      </w:r>
    </w:p>
    <w:p w14:paraId="6821D15F" w14:textId="77777777" w:rsidR="002825AE" w:rsidRDefault="000975FE" w:rsidP="002825AE">
      <w:pPr>
        <w:pStyle w:val="ListParagraph"/>
        <w:numPr>
          <w:ilvl w:val="0"/>
          <w:numId w:val="21"/>
        </w:numPr>
        <w:spacing w:after="120"/>
        <w:contextualSpacing w:val="0"/>
        <w:rPr>
          <w:rFonts w:cstheme="minorHAnsi"/>
          <w:color w:val="19150F"/>
        </w:rPr>
      </w:pPr>
      <w:r w:rsidRPr="000975FE">
        <w:rPr>
          <w:rFonts w:cstheme="minorHAnsi"/>
          <w:color w:val="19150F"/>
        </w:rPr>
        <w:t>Helps agencies with a high-level assessment of current capabilities and supporting processes, helps with strategic communication between agency data professionals and agency leadership, and provides a common language and framework to help promulgate common solutions and best practices across Federal agencies toward advancing data-driven decision-making</w:t>
      </w:r>
    </w:p>
    <w:p w14:paraId="5454C311" w14:textId="7EC6770A" w:rsidR="002825AE" w:rsidRDefault="002825AE" w:rsidP="002825AE">
      <w:pPr>
        <w:pStyle w:val="ListParagraph"/>
        <w:numPr>
          <w:ilvl w:val="0"/>
          <w:numId w:val="21"/>
        </w:numPr>
        <w:spacing w:after="120"/>
        <w:contextualSpacing w:val="0"/>
        <w:rPr>
          <w:rFonts w:cstheme="minorHAnsi"/>
          <w:color w:val="19150F"/>
        </w:rPr>
      </w:pPr>
      <w:r>
        <w:rPr>
          <w:rFonts w:cstheme="minorHAnsi"/>
          <w:color w:val="19150F"/>
        </w:rPr>
        <w:t>The model consists of</w:t>
      </w:r>
      <w:r w:rsidR="000975FE" w:rsidRPr="002825AE">
        <w:rPr>
          <w:rFonts w:cstheme="minorHAnsi"/>
          <w:color w:val="19150F"/>
        </w:rPr>
        <w:t xml:space="preserve"> six lanes</w:t>
      </w:r>
      <w:r>
        <w:rPr>
          <w:rFonts w:cstheme="minorHAnsi"/>
          <w:color w:val="19150F"/>
        </w:rPr>
        <w:t>, with</w:t>
      </w:r>
      <w:r w:rsidR="000975FE" w:rsidRPr="002825AE">
        <w:rPr>
          <w:rFonts w:cstheme="minorHAnsi"/>
          <w:color w:val="19150F"/>
        </w:rPr>
        <w:t xml:space="preserve"> five milestones </w:t>
      </w:r>
      <w:r>
        <w:rPr>
          <w:rFonts w:cstheme="minorHAnsi"/>
          <w:color w:val="19150F"/>
        </w:rPr>
        <w:t>each:</w:t>
      </w:r>
    </w:p>
    <w:tbl>
      <w:tblPr>
        <w:tblStyle w:val="TableGrid"/>
        <w:tblW w:w="0" w:type="auto"/>
        <w:tblInd w:w="805" w:type="dxa"/>
        <w:tblLook w:val="04A0" w:firstRow="1" w:lastRow="0" w:firstColumn="1" w:lastColumn="0" w:noHBand="0" w:noVBand="1"/>
        <w:tblCaption w:val="Table 1: Lanes and Milestones"/>
        <w:tblDescription w:val="Lanes&#10;1. Analytics Capability&#10;2. Data Culture&#10;3. Data Management&#10;4. Data Personnel&#10;5. Data Systems and Technology &#10;6. Data Governance&#10;Milestones&#10;1. Summary Reports&#10;2. Descriptive Analytics&#10;3. Diagnostic Analytics&#10;4. Predictive Analysis&#10;5. Cross-Functional Prescriptive Analytics&#10;"/>
      </w:tblPr>
      <w:tblGrid>
        <w:gridCol w:w="3595"/>
        <w:gridCol w:w="4230"/>
      </w:tblGrid>
      <w:tr w:rsidR="00207DB2" w14:paraId="32B24294" w14:textId="77777777" w:rsidTr="002511BC">
        <w:trPr>
          <w:cantSplit/>
          <w:trHeight w:val="323"/>
          <w:tblHeader/>
        </w:trPr>
        <w:tc>
          <w:tcPr>
            <w:tcW w:w="7825" w:type="dxa"/>
            <w:gridSpan w:val="2"/>
          </w:tcPr>
          <w:p w14:paraId="33A3EC70" w14:textId="452D16D0" w:rsidR="00207DB2" w:rsidRPr="002825AE" w:rsidRDefault="00207DB2" w:rsidP="002825AE">
            <w:pPr>
              <w:pStyle w:val="ListParagraph"/>
              <w:ind w:left="0"/>
              <w:contextualSpacing w:val="0"/>
              <w:rPr>
                <w:rFonts w:cstheme="minorHAnsi"/>
                <w:b/>
                <w:bCs/>
                <w:color w:val="19150F"/>
              </w:rPr>
            </w:pPr>
            <w:r>
              <w:rPr>
                <w:rFonts w:cstheme="minorHAnsi"/>
                <w:b/>
                <w:bCs/>
                <w:color w:val="19150F"/>
              </w:rPr>
              <w:t>Table 1: Lanes and Milestones</w:t>
            </w:r>
          </w:p>
        </w:tc>
      </w:tr>
      <w:tr w:rsidR="002825AE" w14:paraId="2B7D8766" w14:textId="77777777" w:rsidTr="004073F7">
        <w:trPr>
          <w:cantSplit/>
          <w:trHeight w:val="1970"/>
        </w:trPr>
        <w:tc>
          <w:tcPr>
            <w:tcW w:w="3595" w:type="dxa"/>
          </w:tcPr>
          <w:p w14:paraId="49136DEC" w14:textId="77777777" w:rsidR="002825AE" w:rsidRPr="002825AE" w:rsidRDefault="002825AE" w:rsidP="002825AE">
            <w:pPr>
              <w:pStyle w:val="ListParagraph"/>
              <w:ind w:left="0"/>
              <w:contextualSpacing w:val="0"/>
              <w:rPr>
                <w:rFonts w:cstheme="minorHAnsi"/>
                <w:b/>
                <w:bCs/>
                <w:color w:val="19150F"/>
              </w:rPr>
            </w:pPr>
            <w:r w:rsidRPr="002825AE">
              <w:rPr>
                <w:rFonts w:cstheme="minorHAnsi"/>
                <w:b/>
                <w:bCs/>
                <w:color w:val="19150F"/>
              </w:rPr>
              <w:t>Lanes</w:t>
            </w:r>
          </w:p>
          <w:p w14:paraId="16E2D8F2" w14:textId="77777777" w:rsidR="002825AE" w:rsidRDefault="002825AE" w:rsidP="002825AE">
            <w:pPr>
              <w:pStyle w:val="ListParagraph"/>
              <w:numPr>
                <w:ilvl w:val="1"/>
                <w:numId w:val="21"/>
              </w:numPr>
              <w:ind w:left="510"/>
              <w:contextualSpacing w:val="0"/>
              <w:rPr>
                <w:rFonts w:cstheme="minorHAnsi"/>
                <w:color w:val="19150F"/>
              </w:rPr>
            </w:pPr>
            <w:r w:rsidRPr="002825AE">
              <w:rPr>
                <w:rFonts w:cstheme="minorHAnsi"/>
                <w:color w:val="19150F"/>
              </w:rPr>
              <w:t>Analytics Capability</w:t>
            </w:r>
          </w:p>
          <w:p w14:paraId="4447843E" w14:textId="77777777" w:rsidR="002825AE" w:rsidRDefault="002825AE" w:rsidP="002825AE">
            <w:pPr>
              <w:pStyle w:val="ListParagraph"/>
              <w:numPr>
                <w:ilvl w:val="1"/>
                <w:numId w:val="21"/>
              </w:numPr>
              <w:ind w:left="510"/>
              <w:contextualSpacing w:val="0"/>
              <w:rPr>
                <w:rFonts w:cstheme="minorHAnsi"/>
                <w:color w:val="19150F"/>
              </w:rPr>
            </w:pPr>
            <w:r w:rsidRPr="002825AE">
              <w:rPr>
                <w:rFonts w:cstheme="minorHAnsi"/>
                <w:color w:val="19150F"/>
              </w:rPr>
              <w:t>Data Culture</w:t>
            </w:r>
          </w:p>
          <w:p w14:paraId="17A98A24" w14:textId="2A49209B" w:rsidR="002825AE" w:rsidRDefault="002825AE" w:rsidP="002825AE">
            <w:pPr>
              <w:pStyle w:val="ListParagraph"/>
              <w:numPr>
                <w:ilvl w:val="1"/>
                <w:numId w:val="21"/>
              </w:numPr>
              <w:ind w:left="510"/>
              <w:contextualSpacing w:val="0"/>
              <w:rPr>
                <w:rFonts w:cstheme="minorHAnsi"/>
                <w:color w:val="19150F"/>
              </w:rPr>
            </w:pPr>
            <w:r>
              <w:rPr>
                <w:rFonts w:cstheme="minorHAnsi"/>
                <w:color w:val="19150F"/>
              </w:rPr>
              <w:t>D</w:t>
            </w:r>
            <w:r w:rsidRPr="002825AE">
              <w:rPr>
                <w:rFonts w:cstheme="minorHAnsi"/>
                <w:color w:val="19150F"/>
              </w:rPr>
              <w:t>ata Management</w:t>
            </w:r>
          </w:p>
          <w:p w14:paraId="5E2552D4" w14:textId="77777777" w:rsidR="002825AE" w:rsidRDefault="002825AE" w:rsidP="002825AE">
            <w:pPr>
              <w:pStyle w:val="ListParagraph"/>
              <w:numPr>
                <w:ilvl w:val="1"/>
                <w:numId w:val="21"/>
              </w:numPr>
              <w:ind w:left="510"/>
              <w:contextualSpacing w:val="0"/>
              <w:rPr>
                <w:rFonts w:cstheme="minorHAnsi"/>
                <w:color w:val="19150F"/>
              </w:rPr>
            </w:pPr>
            <w:r w:rsidRPr="002825AE">
              <w:rPr>
                <w:rFonts w:cstheme="minorHAnsi"/>
                <w:color w:val="19150F"/>
              </w:rPr>
              <w:t>Data Personnel</w:t>
            </w:r>
          </w:p>
          <w:p w14:paraId="61BA0CC7" w14:textId="77777777" w:rsidR="002825AE" w:rsidRDefault="002825AE" w:rsidP="002825AE">
            <w:pPr>
              <w:pStyle w:val="ListParagraph"/>
              <w:numPr>
                <w:ilvl w:val="1"/>
                <w:numId w:val="21"/>
              </w:numPr>
              <w:ind w:left="510"/>
              <w:contextualSpacing w:val="0"/>
              <w:rPr>
                <w:rFonts w:cstheme="minorHAnsi"/>
                <w:color w:val="19150F"/>
              </w:rPr>
            </w:pPr>
            <w:r w:rsidRPr="002825AE">
              <w:rPr>
                <w:rFonts w:cstheme="minorHAnsi"/>
                <w:color w:val="19150F"/>
              </w:rPr>
              <w:t>Data Systems and Technology</w:t>
            </w:r>
            <w:r>
              <w:rPr>
                <w:rFonts w:cstheme="minorHAnsi"/>
                <w:color w:val="19150F"/>
              </w:rPr>
              <w:t xml:space="preserve"> </w:t>
            </w:r>
          </w:p>
          <w:p w14:paraId="64D1C33A" w14:textId="5274B113" w:rsidR="002825AE" w:rsidRPr="002825AE" w:rsidRDefault="002825AE" w:rsidP="002825AE">
            <w:pPr>
              <w:pStyle w:val="ListParagraph"/>
              <w:numPr>
                <w:ilvl w:val="1"/>
                <w:numId w:val="21"/>
              </w:numPr>
              <w:ind w:left="510"/>
              <w:contextualSpacing w:val="0"/>
              <w:rPr>
                <w:rFonts w:cstheme="minorHAnsi"/>
                <w:color w:val="19150F"/>
              </w:rPr>
            </w:pPr>
            <w:r w:rsidRPr="002825AE">
              <w:rPr>
                <w:rFonts w:cstheme="minorHAnsi"/>
                <w:color w:val="19150F"/>
              </w:rPr>
              <w:t>Data Governance</w:t>
            </w:r>
          </w:p>
        </w:tc>
        <w:tc>
          <w:tcPr>
            <w:tcW w:w="4230" w:type="dxa"/>
          </w:tcPr>
          <w:p w14:paraId="4B0BA7B7" w14:textId="77777777" w:rsidR="002825AE" w:rsidRPr="002825AE" w:rsidRDefault="002825AE" w:rsidP="002825AE">
            <w:pPr>
              <w:pStyle w:val="ListParagraph"/>
              <w:ind w:left="0"/>
              <w:contextualSpacing w:val="0"/>
              <w:rPr>
                <w:rFonts w:cstheme="minorHAnsi"/>
                <w:b/>
                <w:bCs/>
                <w:color w:val="19150F"/>
              </w:rPr>
            </w:pPr>
            <w:r w:rsidRPr="002825AE">
              <w:rPr>
                <w:rFonts w:cstheme="minorHAnsi"/>
                <w:b/>
                <w:bCs/>
                <w:color w:val="19150F"/>
              </w:rPr>
              <w:t>Milestones</w:t>
            </w:r>
          </w:p>
          <w:p w14:paraId="46B1C665" w14:textId="77777777" w:rsidR="002825AE" w:rsidRDefault="002825AE" w:rsidP="002825AE">
            <w:pPr>
              <w:pStyle w:val="ListParagraph"/>
              <w:numPr>
                <w:ilvl w:val="0"/>
                <w:numId w:val="24"/>
              </w:numPr>
              <w:ind w:left="481"/>
              <w:contextualSpacing w:val="0"/>
              <w:rPr>
                <w:rFonts w:cstheme="minorHAnsi"/>
                <w:color w:val="19150F"/>
              </w:rPr>
            </w:pPr>
            <w:r w:rsidRPr="002825AE">
              <w:rPr>
                <w:rFonts w:cstheme="minorHAnsi"/>
                <w:color w:val="19150F"/>
              </w:rPr>
              <w:t>Summary Reports</w:t>
            </w:r>
          </w:p>
          <w:p w14:paraId="610449D2" w14:textId="77777777" w:rsidR="002825AE" w:rsidRDefault="002825AE" w:rsidP="002825AE">
            <w:pPr>
              <w:pStyle w:val="ListParagraph"/>
              <w:numPr>
                <w:ilvl w:val="0"/>
                <w:numId w:val="24"/>
              </w:numPr>
              <w:ind w:left="481"/>
              <w:contextualSpacing w:val="0"/>
              <w:rPr>
                <w:rFonts w:cstheme="minorHAnsi"/>
                <w:color w:val="19150F"/>
              </w:rPr>
            </w:pPr>
            <w:r w:rsidRPr="002825AE">
              <w:rPr>
                <w:rFonts w:cstheme="minorHAnsi"/>
                <w:color w:val="19150F"/>
              </w:rPr>
              <w:t>Descriptive Analytics</w:t>
            </w:r>
          </w:p>
          <w:p w14:paraId="2897BBAC" w14:textId="77777777" w:rsidR="002825AE" w:rsidRDefault="002825AE" w:rsidP="002825AE">
            <w:pPr>
              <w:pStyle w:val="ListParagraph"/>
              <w:numPr>
                <w:ilvl w:val="0"/>
                <w:numId w:val="24"/>
              </w:numPr>
              <w:ind w:left="481"/>
              <w:contextualSpacing w:val="0"/>
              <w:rPr>
                <w:rFonts w:cstheme="minorHAnsi"/>
                <w:color w:val="19150F"/>
              </w:rPr>
            </w:pPr>
            <w:r w:rsidRPr="002825AE">
              <w:rPr>
                <w:rFonts w:cstheme="minorHAnsi"/>
                <w:color w:val="19150F"/>
              </w:rPr>
              <w:t>Diagnostic Analytics</w:t>
            </w:r>
          </w:p>
          <w:p w14:paraId="56A6CFE5" w14:textId="77777777" w:rsidR="002825AE" w:rsidRDefault="002825AE" w:rsidP="002825AE">
            <w:pPr>
              <w:pStyle w:val="ListParagraph"/>
              <w:numPr>
                <w:ilvl w:val="0"/>
                <w:numId w:val="24"/>
              </w:numPr>
              <w:ind w:left="481"/>
              <w:contextualSpacing w:val="0"/>
              <w:rPr>
                <w:rFonts w:cstheme="minorHAnsi"/>
                <w:color w:val="19150F"/>
              </w:rPr>
            </w:pPr>
            <w:r w:rsidRPr="002825AE">
              <w:rPr>
                <w:rFonts w:cstheme="minorHAnsi"/>
                <w:color w:val="19150F"/>
              </w:rPr>
              <w:t>Predictive Analysis</w:t>
            </w:r>
          </w:p>
          <w:p w14:paraId="5B7A4C34" w14:textId="77777777" w:rsidR="002825AE" w:rsidRDefault="002825AE" w:rsidP="002825AE">
            <w:pPr>
              <w:pStyle w:val="ListParagraph"/>
              <w:numPr>
                <w:ilvl w:val="0"/>
                <w:numId w:val="24"/>
              </w:numPr>
              <w:ind w:left="481"/>
              <w:contextualSpacing w:val="0"/>
              <w:rPr>
                <w:rFonts w:cstheme="minorHAnsi"/>
                <w:color w:val="19150F"/>
              </w:rPr>
            </w:pPr>
            <w:r w:rsidRPr="002825AE">
              <w:rPr>
                <w:rFonts w:cstheme="minorHAnsi"/>
                <w:color w:val="19150F"/>
              </w:rPr>
              <w:t>Cross-Functional Prescriptive Analytics</w:t>
            </w:r>
          </w:p>
          <w:p w14:paraId="5E3B7ED5" w14:textId="55CE03F2" w:rsidR="00207DB2" w:rsidRDefault="00207DB2" w:rsidP="00207DB2">
            <w:pPr>
              <w:pStyle w:val="ListParagraph"/>
              <w:ind w:left="481"/>
              <w:contextualSpacing w:val="0"/>
              <w:rPr>
                <w:rFonts w:cstheme="minorHAnsi"/>
                <w:color w:val="19150F"/>
              </w:rPr>
            </w:pPr>
          </w:p>
        </w:tc>
      </w:tr>
    </w:tbl>
    <w:p w14:paraId="53AE8847" w14:textId="77777777" w:rsidR="000975FE" w:rsidRDefault="000975FE" w:rsidP="003F6FEE">
      <w:pPr>
        <w:pStyle w:val="ListParagraph"/>
        <w:spacing w:before="220"/>
        <w:ind w:left="0"/>
        <w:contextualSpacing w:val="0"/>
        <w:rPr>
          <w:b/>
          <w:bCs/>
        </w:rPr>
      </w:pPr>
      <w:r>
        <w:rPr>
          <w:b/>
          <w:bCs/>
        </w:rPr>
        <w:t>How does it apply to ACL?</w:t>
      </w:r>
    </w:p>
    <w:p w14:paraId="39F15D7D" w14:textId="77777777" w:rsidR="002825AE" w:rsidRPr="002825AE" w:rsidRDefault="002825AE" w:rsidP="002825AE">
      <w:pPr>
        <w:pStyle w:val="ListParagraph"/>
        <w:numPr>
          <w:ilvl w:val="0"/>
          <w:numId w:val="25"/>
        </w:numPr>
        <w:spacing w:after="120"/>
        <w:contextualSpacing w:val="0"/>
      </w:pPr>
      <w:r>
        <w:t>May help ACL</w:t>
      </w:r>
      <w:r w:rsidRPr="002825AE">
        <w:rPr>
          <w:rFonts w:cstheme="minorHAnsi"/>
        </w:rPr>
        <w:t xml:space="preserve"> </w:t>
      </w:r>
      <w:r w:rsidRPr="00230DFB">
        <w:rPr>
          <w:rFonts w:cstheme="minorHAnsi"/>
        </w:rPr>
        <w:t>assess the current state of its data capabilities by determining where ACL’s capabilities lie on a continuum from low (=1) to high (=5) in six key areas (lanes)</w:t>
      </w:r>
    </w:p>
    <w:p w14:paraId="08CF34FF" w14:textId="5651D1AB" w:rsidR="00CC1FA2" w:rsidRPr="002825AE" w:rsidRDefault="002825AE" w:rsidP="00ED0A7D">
      <w:pPr>
        <w:pStyle w:val="ListParagraph"/>
        <w:numPr>
          <w:ilvl w:val="0"/>
          <w:numId w:val="25"/>
        </w:numPr>
        <w:contextualSpacing w:val="0"/>
      </w:pPr>
      <w:r>
        <w:rPr>
          <w:rFonts w:cstheme="minorHAnsi"/>
        </w:rPr>
        <w:t xml:space="preserve">May help </w:t>
      </w:r>
      <w:r w:rsidRPr="00230DFB">
        <w:rPr>
          <w:rFonts w:cstheme="minorHAnsi"/>
        </w:rPr>
        <w:t xml:space="preserve">ACL identify future milestones for improving its data </w:t>
      </w:r>
      <w:proofErr w:type="gramStart"/>
      <w:r w:rsidRPr="00230DFB">
        <w:rPr>
          <w:rFonts w:cstheme="minorHAnsi"/>
        </w:rPr>
        <w:t>capabilities.</w:t>
      </w:r>
      <w:proofErr w:type="gramEnd"/>
      <w:r w:rsidRPr="00230DFB">
        <w:rPr>
          <w:rFonts w:cstheme="minorHAnsi"/>
        </w:rPr>
        <w:t xml:space="preserve"> The model can be applied at strategic time points to assess progress over time.</w:t>
      </w:r>
    </w:p>
    <w:p w14:paraId="4A1A515E" w14:textId="6707BFC9" w:rsidR="002825AE" w:rsidRDefault="002825AE" w:rsidP="003F6FEE">
      <w:pPr>
        <w:pStyle w:val="ListParagraph"/>
        <w:spacing w:before="220"/>
        <w:ind w:left="0"/>
        <w:contextualSpacing w:val="0"/>
        <w:rPr>
          <w:b/>
          <w:bCs/>
        </w:rPr>
      </w:pPr>
      <w:r>
        <w:rPr>
          <w:b/>
          <w:bCs/>
        </w:rPr>
        <w:t>How does it apply to specific ACL Centers/Programs?</w:t>
      </w:r>
    </w:p>
    <w:p w14:paraId="4C349946" w14:textId="77777777" w:rsidR="002825AE" w:rsidRDefault="002825AE" w:rsidP="00453B8D">
      <w:pPr>
        <w:pStyle w:val="ListParagraph"/>
        <w:numPr>
          <w:ilvl w:val="0"/>
          <w:numId w:val="25"/>
        </w:numPr>
        <w:spacing w:after="0"/>
        <w:contextualSpacing w:val="0"/>
      </w:pPr>
      <w:r>
        <w:t>OPE</w:t>
      </w:r>
    </w:p>
    <w:p w14:paraId="6099E416" w14:textId="0DB289E7" w:rsidR="002825AE" w:rsidRPr="002825AE" w:rsidRDefault="00453B8D" w:rsidP="00453B8D">
      <w:pPr>
        <w:pStyle w:val="ListParagraph"/>
        <w:numPr>
          <w:ilvl w:val="1"/>
          <w:numId w:val="25"/>
        </w:numPr>
        <w:spacing w:after="120"/>
        <w:ind w:left="1260"/>
        <w:contextualSpacing w:val="0"/>
      </w:pPr>
      <w:r>
        <w:t>May</w:t>
      </w:r>
      <w:r w:rsidR="002825AE" w:rsidRPr="002825AE">
        <w:rPr>
          <w:rFonts w:cstheme="minorHAnsi"/>
        </w:rPr>
        <w:t xml:space="preserve"> inform</w:t>
      </w:r>
      <w:r>
        <w:rPr>
          <w:rFonts w:cstheme="minorHAnsi"/>
        </w:rPr>
        <w:t xml:space="preserve"> d</w:t>
      </w:r>
      <w:r w:rsidR="002825AE" w:rsidRPr="00453B8D">
        <w:rPr>
          <w:rFonts w:cstheme="minorHAnsi"/>
        </w:rPr>
        <w:t>evelopment of TA materials and toolkit</w:t>
      </w:r>
      <w:r>
        <w:rPr>
          <w:rFonts w:cstheme="minorHAnsi"/>
        </w:rPr>
        <w:t>s, s</w:t>
      </w:r>
      <w:r w:rsidR="002825AE" w:rsidRPr="00453B8D">
        <w:rPr>
          <w:rFonts w:cstheme="minorHAnsi"/>
        </w:rPr>
        <w:t>taff position descriptions and hiring prioritie</w:t>
      </w:r>
      <w:r>
        <w:rPr>
          <w:rFonts w:cstheme="minorHAnsi"/>
        </w:rPr>
        <w:t xml:space="preserve">s, </w:t>
      </w:r>
      <w:r w:rsidR="002825AE" w:rsidRPr="00453B8D">
        <w:rPr>
          <w:rFonts w:cstheme="minorHAnsi"/>
        </w:rPr>
        <w:t>IT acquisitions (software)</w:t>
      </w:r>
      <w:r>
        <w:rPr>
          <w:rFonts w:cstheme="minorHAnsi"/>
        </w:rPr>
        <w:t xml:space="preserve">, and </w:t>
      </w:r>
      <w:r w:rsidR="002825AE" w:rsidRPr="00453B8D">
        <w:rPr>
          <w:rFonts w:cstheme="minorHAnsi"/>
        </w:rPr>
        <w:t>direction for strategic ACL initiatives</w:t>
      </w:r>
    </w:p>
    <w:p w14:paraId="6AE93C1D" w14:textId="2737510D" w:rsidR="002825AE" w:rsidRPr="00453B8D" w:rsidRDefault="00453B8D" w:rsidP="00453B8D">
      <w:pPr>
        <w:pStyle w:val="ListParagraph"/>
        <w:numPr>
          <w:ilvl w:val="0"/>
          <w:numId w:val="25"/>
        </w:numPr>
      </w:pPr>
      <w:r>
        <w:rPr>
          <w:rFonts w:cstheme="minorHAnsi"/>
        </w:rPr>
        <w:t>AGID</w:t>
      </w:r>
    </w:p>
    <w:p w14:paraId="35AF1F69" w14:textId="77777777" w:rsidR="00453B8D" w:rsidRDefault="00453B8D" w:rsidP="00453B8D">
      <w:pPr>
        <w:pStyle w:val="ListParagraph"/>
        <w:numPr>
          <w:ilvl w:val="1"/>
          <w:numId w:val="25"/>
        </w:numPr>
        <w:ind w:left="1260"/>
        <w:rPr>
          <w:rFonts w:cstheme="minorHAnsi"/>
        </w:rPr>
      </w:pPr>
      <w:r w:rsidRPr="00230DFB">
        <w:rPr>
          <w:rFonts w:cstheme="minorHAnsi"/>
        </w:rPr>
        <w:t>Provides a common language to use across programs to aid data coordination and cross data set usability</w:t>
      </w:r>
    </w:p>
    <w:p w14:paraId="102D2496" w14:textId="10CD7987" w:rsidR="00453B8D" w:rsidRDefault="00453B8D" w:rsidP="00453B8D">
      <w:pPr>
        <w:pStyle w:val="ListParagraph"/>
        <w:numPr>
          <w:ilvl w:val="1"/>
          <w:numId w:val="25"/>
        </w:numPr>
        <w:ind w:left="1260"/>
        <w:rPr>
          <w:rFonts w:cstheme="minorHAnsi"/>
        </w:rPr>
      </w:pPr>
      <w:r w:rsidRPr="00453B8D">
        <w:rPr>
          <w:rFonts w:cstheme="minorHAnsi"/>
        </w:rPr>
        <w:t>Facilitates better contracting by focusing on the right elements to build improved data capacity through understanding the root causes for some data issues</w:t>
      </w:r>
      <w:r w:rsidR="005D4579">
        <w:rPr>
          <w:rFonts w:cstheme="minorHAnsi"/>
        </w:rPr>
        <w:t xml:space="preserve">  </w:t>
      </w:r>
    </w:p>
    <w:p w14:paraId="1401A0EB" w14:textId="538B027C" w:rsidR="005D4579" w:rsidRPr="00A12B51" w:rsidRDefault="005D4579" w:rsidP="003F6FEE">
      <w:pPr>
        <w:spacing w:before="500"/>
        <w:rPr>
          <w:rFonts w:cstheme="minorHAnsi"/>
          <w:b/>
        </w:rPr>
      </w:pPr>
      <w:r>
        <w:rPr>
          <w:rFonts w:cstheme="minorHAnsi"/>
          <w:b/>
        </w:rPr>
        <w:t xml:space="preserve">Keywords: </w:t>
      </w:r>
      <w:r w:rsidRPr="00A12B51">
        <w:rPr>
          <w:rFonts w:cstheme="minorHAnsi"/>
        </w:rPr>
        <w:t xml:space="preserve">Maturity assessment; Data </w:t>
      </w:r>
      <w:r w:rsidR="00A12B51">
        <w:rPr>
          <w:rFonts w:cstheme="minorHAnsi"/>
        </w:rPr>
        <w:t>c</w:t>
      </w:r>
      <w:r w:rsidRPr="00A12B51">
        <w:rPr>
          <w:rFonts w:cstheme="minorHAnsi"/>
        </w:rPr>
        <w:t>apacity</w:t>
      </w:r>
      <w:r w:rsidR="00A12B51">
        <w:rPr>
          <w:rFonts w:cstheme="minorHAnsi"/>
        </w:rPr>
        <w:t xml:space="preserve">; Data capabilities </w:t>
      </w:r>
    </w:p>
    <w:tbl>
      <w:tblPr>
        <w:tblStyle w:val="TableGrid"/>
        <w:tblW w:w="9895" w:type="dxa"/>
        <w:shd w:val="clear" w:color="auto" w:fill="2F5496" w:themeFill="accent1" w:themeFillShade="BF"/>
        <w:tblLook w:val="04A0" w:firstRow="1" w:lastRow="0" w:firstColumn="1" w:lastColumn="0" w:noHBand="0" w:noVBand="1"/>
        <w:tblCaption w:val="Federal Data Strategy 2020 Action Plan"/>
        <w:tblDescription w:val="Agencies: Office of Management and Budget, Office of Science and Technology Policy, Department of Commerce, Small Business Administration&#10;"/>
      </w:tblPr>
      <w:tblGrid>
        <w:gridCol w:w="9895"/>
      </w:tblGrid>
      <w:tr w:rsidR="00A12B51" w:rsidRPr="00A572F0" w14:paraId="40520CCD" w14:textId="77777777" w:rsidTr="00711387">
        <w:trPr>
          <w:trHeight w:val="1070"/>
          <w:tblHeader/>
        </w:trPr>
        <w:tc>
          <w:tcPr>
            <w:tcW w:w="9895" w:type="dxa"/>
            <w:shd w:val="clear" w:color="auto" w:fill="2F5496" w:themeFill="accent1" w:themeFillShade="BF"/>
            <w:vAlign w:val="center"/>
          </w:tcPr>
          <w:p w14:paraId="0418C984" w14:textId="77777777" w:rsidR="00A12B51" w:rsidRPr="008E2A26" w:rsidRDefault="00A12B51" w:rsidP="004073F7">
            <w:pPr>
              <w:pStyle w:val="Heading3"/>
              <w:numPr>
                <w:ilvl w:val="0"/>
                <w:numId w:val="0"/>
              </w:numPr>
              <w:outlineLvl w:val="2"/>
              <w:rPr>
                <w:rStyle w:val="Heading3Char"/>
                <w:b/>
              </w:rPr>
            </w:pPr>
            <w:bookmarkStart w:id="23" w:name="_Toc42706832"/>
            <w:bookmarkStart w:id="24" w:name="_Hlk40707411"/>
            <w:r w:rsidRPr="008E2A26">
              <w:lastRenderedPageBreak/>
              <w:t xml:space="preserve">Title: </w:t>
            </w:r>
            <w:r w:rsidRPr="008E2A26">
              <w:rPr>
                <w:rStyle w:val="Heading3Char"/>
                <w:b/>
              </w:rPr>
              <w:t>Federal Data Strategy 2020 Action Plan</w:t>
            </w:r>
            <w:bookmarkEnd w:id="23"/>
          </w:p>
          <w:p w14:paraId="45F76E5F" w14:textId="77777777" w:rsidR="00A12B51" w:rsidRPr="00A572F0" w:rsidRDefault="00A12B51" w:rsidP="004073F7">
            <w:pPr>
              <w:rPr>
                <w:color w:val="FFFFFF" w:themeColor="background1"/>
                <w:bdr w:val="none" w:sz="0" w:space="0" w:color="auto" w:frame="1"/>
              </w:rPr>
            </w:pPr>
            <w:r w:rsidRPr="00A572F0">
              <w:rPr>
                <w:b/>
                <w:bCs/>
                <w:color w:val="FFFFFF" w:themeColor="background1"/>
                <w:bdr w:val="none" w:sz="0" w:space="0" w:color="auto" w:frame="1"/>
              </w:rPr>
              <w:t>Agenc</w:t>
            </w:r>
            <w:r>
              <w:rPr>
                <w:b/>
                <w:bCs/>
                <w:color w:val="FFFFFF" w:themeColor="background1"/>
                <w:bdr w:val="none" w:sz="0" w:space="0" w:color="auto" w:frame="1"/>
              </w:rPr>
              <w:t>ies:</w:t>
            </w:r>
            <w:r w:rsidRPr="00A572F0">
              <w:rPr>
                <w:b/>
                <w:bCs/>
                <w:color w:val="FFFFFF" w:themeColor="background1"/>
                <w:bdr w:val="none" w:sz="0" w:space="0" w:color="auto" w:frame="1"/>
              </w:rPr>
              <w:t xml:space="preserve"> </w:t>
            </w:r>
            <w:r w:rsidRPr="00826868">
              <w:rPr>
                <w:b/>
                <w:bCs/>
                <w:color w:val="FFFFFF" w:themeColor="background1"/>
                <w:bdr w:val="none" w:sz="0" w:space="0" w:color="auto" w:frame="1"/>
              </w:rPr>
              <w:t>Office of Management and Budget</w:t>
            </w:r>
            <w:r>
              <w:rPr>
                <w:b/>
                <w:bCs/>
                <w:color w:val="FFFFFF" w:themeColor="background1"/>
                <w:bdr w:val="none" w:sz="0" w:space="0" w:color="auto" w:frame="1"/>
              </w:rPr>
              <w:t>,</w:t>
            </w:r>
            <w:r w:rsidRPr="00826868">
              <w:rPr>
                <w:b/>
                <w:bCs/>
                <w:color w:val="FFFFFF" w:themeColor="background1"/>
                <w:bdr w:val="none" w:sz="0" w:space="0" w:color="auto" w:frame="1"/>
              </w:rPr>
              <w:t xml:space="preserve"> Office of Science and Technology</w:t>
            </w:r>
            <w:r>
              <w:rPr>
                <w:b/>
                <w:bCs/>
                <w:color w:val="FFFFFF" w:themeColor="background1"/>
                <w:bdr w:val="none" w:sz="0" w:space="0" w:color="auto" w:frame="1"/>
              </w:rPr>
              <w:t xml:space="preserve"> </w:t>
            </w:r>
            <w:r w:rsidRPr="00826868">
              <w:rPr>
                <w:b/>
                <w:bCs/>
                <w:color w:val="FFFFFF" w:themeColor="background1"/>
                <w:bdr w:val="none" w:sz="0" w:space="0" w:color="auto" w:frame="1"/>
              </w:rPr>
              <w:t>Policy</w:t>
            </w:r>
            <w:r>
              <w:rPr>
                <w:b/>
                <w:bCs/>
                <w:color w:val="FFFFFF" w:themeColor="background1"/>
                <w:bdr w:val="none" w:sz="0" w:space="0" w:color="auto" w:frame="1"/>
              </w:rPr>
              <w:t>,</w:t>
            </w:r>
            <w:r w:rsidRPr="00826868">
              <w:rPr>
                <w:b/>
                <w:bCs/>
                <w:color w:val="FFFFFF" w:themeColor="background1"/>
                <w:bdr w:val="none" w:sz="0" w:space="0" w:color="auto" w:frame="1"/>
              </w:rPr>
              <w:t xml:space="preserve"> Department of Commerce</w:t>
            </w:r>
            <w:r>
              <w:rPr>
                <w:b/>
                <w:bCs/>
                <w:color w:val="FFFFFF" w:themeColor="background1"/>
                <w:bdr w:val="none" w:sz="0" w:space="0" w:color="auto" w:frame="1"/>
              </w:rPr>
              <w:t>,</w:t>
            </w:r>
            <w:r w:rsidRPr="00826868">
              <w:rPr>
                <w:b/>
                <w:bCs/>
                <w:color w:val="FFFFFF" w:themeColor="background1"/>
                <w:bdr w:val="none" w:sz="0" w:space="0" w:color="auto" w:frame="1"/>
              </w:rPr>
              <w:t xml:space="preserve"> Small Business Administration</w:t>
            </w:r>
          </w:p>
        </w:tc>
      </w:tr>
    </w:tbl>
    <w:bookmarkEnd w:id="24"/>
    <w:p w14:paraId="2979161C" w14:textId="77777777" w:rsidR="00453B8D" w:rsidRPr="006F5F1D" w:rsidRDefault="00453B8D" w:rsidP="003F6FEE">
      <w:pPr>
        <w:spacing w:before="220"/>
        <w:rPr>
          <w:b/>
          <w:bCs/>
        </w:rPr>
      </w:pPr>
      <w:r w:rsidRPr="006F5F1D">
        <w:rPr>
          <w:b/>
          <w:bCs/>
        </w:rPr>
        <w:t>Where can I find it?</w:t>
      </w:r>
    </w:p>
    <w:p w14:paraId="5AB9C0B6" w14:textId="6AF27B69" w:rsidR="00453B8D" w:rsidRPr="005367DB" w:rsidRDefault="00046E40" w:rsidP="00453B8D">
      <w:pPr>
        <w:pStyle w:val="ListParagraph"/>
        <w:numPr>
          <w:ilvl w:val="0"/>
          <w:numId w:val="21"/>
        </w:numPr>
        <w:rPr>
          <w:rStyle w:val="Hyperlink"/>
          <w:color w:val="auto"/>
          <w:u w:val="none"/>
        </w:rPr>
      </w:pPr>
      <w:hyperlink r:id="rId14" w:history="1">
        <w:r w:rsidR="00453B8D">
          <w:rPr>
            <w:rStyle w:val="Hyperlink"/>
          </w:rPr>
          <w:t>Federal Data Strategy Action Plan</w:t>
        </w:r>
      </w:hyperlink>
    </w:p>
    <w:p w14:paraId="55659D22" w14:textId="77777777" w:rsidR="00453B8D" w:rsidRPr="006F5F1D" w:rsidRDefault="00453B8D" w:rsidP="003F6FEE">
      <w:pPr>
        <w:spacing w:before="220"/>
        <w:rPr>
          <w:b/>
          <w:bCs/>
        </w:rPr>
      </w:pPr>
      <w:r w:rsidRPr="006F5F1D">
        <w:rPr>
          <w:b/>
          <w:bCs/>
        </w:rPr>
        <w:t>What is the purpose?</w:t>
      </w:r>
    </w:p>
    <w:p w14:paraId="2127CEC4" w14:textId="77777777" w:rsidR="00453B8D" w:rsidRPr="00453B8D" w:rsidRDefault="00453B8D" w:rsidP="00453B8D">
      <w:pPr>
        <w:pStyle w:val="ListParagraph"/>
        <w:numPr>
          <w:ilvl w:val="0"/>
          <w:numId w:val="27"/>
        </w:numPr>
        <w:spacing w:after="120"/>
        <w:ind w:left="720"/>
        <w:contextualSpacing w:val="0"/>
        <w:rPr>
          <w:bdr w:val="none" w:sz="0" w:space="0" w:color="auto" w:frame="1"/>
        </w:rPr>
      </w:pPr>
      <w:r w:rsidRPr="00AA55FA">
        <w:rPr>
          <w:rFonts w:cstheme="minorHAnsi"/>
          <w:color w:val="19150F"/>
        </w:rPr>
        <w:t>Provides a common set of data principles and best practices in implementing data innovation</w:t>
      </w:r>
    </w:p>
    <w:p w14:paraId="51016EDE" w14:textId="4D22A7A1" w:rsidR="00453B8D" w:rsidRPr="00453B8D" w:rsidRDefault="00453B8D" w:rsidP="00453B8D">
      <w:pPr>
        <w:pStyle w:val="ListParagraph"/>
        <w:numPr>
          <w:ilvl w:val="0"/>
          <w:numId w:val="27"/>
        </w:numPr>
        <w:spacing w:after="120"/>
        <w:ind w:left="720"/>
        <w:contextualSpacing w:val="0"/>
        <w:rPr>
          <w:bdr w:val="none" w:sz="0" w:space="0" w:color="auto" w:frame="1"/>
        </w:rPr>
      </w:pPr>
      <w:r w:rsidRPr="00AA55FA">
        <w:rPr>
          <w:rFonts w:cstheme="minorHAnsi"/>
          <w:color w:val="19150F"/>
        </w:rPr>
        <w:t>Annual action plans</w:t>
      </w:r>
      <w:r>
        <w:rPr>
          <w:rFonts w:cstheme="minorHAnsi"/>
          <w:color w:val="19150F"/>
        </w:rPr>
        <w:t xml:space="preserve"> </w:t>
      </w:r>
      <w:r w:rsidRPr="00AA55FA">
        <w:rPr>
          <w:rFonts w:cstheme="minorHAnsi"/>
          <w:color w:val="19150F"/>
        </w:rPr>
        <w:t>identify and prioritize practice-related steps for a given year, along with targeted timeframes and responsible entities</w:t>
      </w:r>
    </w:p>
    <w:p w14:paraId="4585ACF8" w14:textId="21DB01EC" w:rsidR="00453B8D" w:rsidRPr="00453B8D" w:rsidRDefault="00453B8D" w:rsidP="00ED0A7D">
      <w:pPr>
        <w:pStyle w:val="ListParagraph"/>
        <w:numPr>
          <w:ilvl w:val="0"/>
          <w:numId w:val="27"/>
        </w:numPr>
        <w:ind w:left="720"/>
        <w:contextualSpacing w:val="0"/>
        <w:rPr>
          <w:bdr w:val="none" w:sz="0" w:space="0" w:color="auto" w:frame="1"/>
        </w:rPr>
      </w:pPr>
      <w:r w:rsidRPr="00AA55FA">
        <w:rPr>
          <w:rFonts w:cstheme="minorHAnsi"/>
          <w:color w:val="19150F"/>
        </w:rPr>
        <w:t>2020 Action Plan identifies initial actions for agencies that are essential for establishing processes, building capacity, and aligning existing efforts to better leverage data as a strategic asset</w:t>
      </w:r>
    </w:p>
    <w:p w14:paraId="3E7DA973" w14:textId="77777777" w:rsidR="00453B8D" w:rsidRDefault="00453B8D" w:rsidP="003F6FEE">
      <w:pPr>
        <w:pStyle w:val="ListParagraph"/>
        <w:spacing w:before="220"/>
        <w:ind w:left="0"/>
        <w:contextualSpacing w:val="0"/>
        <w:rPr>
          <w:b/>
          <w:bCs/>
        </w:rPr>
      </w:pPr>
      <w:r>
        <w:rPr>
          <w:b/>
          <w:bCs/>
        </w:rPr>
        <w:t>How does it apply to ACL?</w:t>
      </w:r>
    </w:p>
    <w:p w14:paraId="130C2AC8" w14:textId="61C337D9" w:rsidR="00453B8D" w:rsidRPr="0006210B" w:rsidRDefault="0006210B" w:rsidP="0006210B">
      <w:pPr>
        <w:pStyle w:val="ListParagraph"/>
        <w:numPr>
          <w:ilvl w:val="0"/>
          <w:numId w:val="28"/>
        </w:numPr>
        <w:spacing w:after="120"/>
        <w:ind w:left="720"/>
        <w:contextualSpacing w:val="0"/>
        <w:rPr>
          <w:rFonts w:cstheme="minorHAnsi"/>
        </w:rPr>
      </w:pPr>
      <w:r>
        <w:rPr>
          <w:rFonts w:cstheme="minorHAnsi"/>
        </w:rPr>
        <w:t xml:space="preserve">Of the </w:t>
      </w:r>
      <w:r w:rsidR="00453B8D" w:rsidRPr="0006210B">
        <w:rPr>
          <w:rFonts w:cstheme="minorHAnsi"/>
        </w:rPr>
        <w:t>20 expected actions to be accomplished by December 2020</w:t>
      </w:r>
      <w:r>
        <w:rPr>
          <w:rFonts w:cstheme="minorHAnsi"/>
        </w:rPr>
        <w:t>, five</w:t>
      </w:r>
      <w:r w:rsidR="00453B8D" w:rsidRPr="0006210B">
        <w:rPr>
          <w:rFonts w:cstheme="minorHAnsi"/>
        </w:rPr>
        <w:t xml:space="preserve"> </w:t>
      </w:r>
      <w:r>
        <w:rPr>
          <w:rFonts w:cstheme="minorHAnsi"/>
        </w:rPr>
        <w:t>may be applicable to ACL</w:t>
      </w:r>
    </w:p>
    <w:p w14:paraId="54D201D6" w14:textId="77777777" w:rsidR="00453B8D" w:rsidRPr="00AA55FA" w:rsidRDefault="00453B8D" w:rsidP="0006210B">
      <w:pPr>
        <w:pStyle w:val="ListParagraph"/>
        <w:numPr>
          <w:ilvl w:val="0"/>
          <w:numId w:val="29"/>
        </w:numPr>
        <w:spacing w:after="120"/>
        <w:ind w:left="1260"/>
        <w:rPr>
          <w:rFonts w:cstheme="minorHAnsi"/>
        </w:rPr>
      </w:pPr>
      <w:r w:rsidRPr="00AA55FA">
        <w:rPr>
          <w:rFonts w:cstheme="minorHAnsi"/>
        </w:rPr>
        <w:t>Identify Data Needs to Answer Priority Agency Questions: Utilize a learning agenda to identify and prioritize ACL’s key questions and the data needed to answer them.</w:t>
      </w:r>
    </w:p>
    <w:p w14:paraId="179D5E03" w14:textId="77777777" w:rsidR="00453B8D" w:rsidRPr="00AA55FA" w:rsidRDefault="00453B8D" w:rsidP="0006210B">
      <w:pPr>
        <w:pStyle w:val="ListParagraph"/>
        <w:numPr>
          <w:ilvl w:val="0"/>
          <w:numId w:val="29"/>
        </w:numPr>
        <w:spacing w:after="120"/>
        <w:ind w:left="1260"/>
        <w:rPr>
          <w:rFonts w:cstheme="minorHAnsi"/>
        </w:rPr>
      </w:pPr>
      <w:r w:rsidRPr="00AA55FA">
        <w:rPr>
          <w:rFonts w:cstheme="minorHAnsi"/>
        </w:rPr>
        <w:t>Identify Priority Data Sets for Agency Open Data Plans: Assess and proactively address the procedural, regulatory, legal, and cultural barriers to sharing data with various stakeholders. Determine what will facilitate open formats.</w:t>
      </w:r>
    </w:p>
    <w:p w14:paraId="0B2C68D1" w14:textId="77777777" w:rsidR="00453B8D" w:rsidRPr="00AA55FA" w:rsidRDefault="00453B8D" w:rsidP="0006210B">
      <w:pPr>
        <w:pStyle w:val="ListParagraph"/>
        <w:numPr>
          <w:ilvl w:val="0"/>
          <w:numId w:val="29"/>
        </w:numPr>
        <w:spacing w:after="120"/>
        <w:ind w:left="1260"/>
        <w:rPr>
          <w:rFonts w:cstheme="minorHAnsi"/>
        </w:rPr>
      </w:pPr>
      <w:r w:rsidRPr="00AA55FA">
        <w:rPr>
          <w:rFonts w:cstheme="minorHAnsi"/>
        </w:rPr>
        <w:t>Publish and Update Data Inventories: Contribute to Data.gov, whereby ACL publishes and updates its data inventories.</w:t>
      </w:r>
    </w:p>
    <w:p w14:paraId="41BDD798" w14:textId="77777777" w:rsidR="00453B8D" w:rsidRPr="00AA55FA" w:rsidRDefault="00453B8D" w:rsidP="0006210B">
      <w:pPr>
        <w:pStyle w:val="ListParagraph"/>
        <w:numPr>
          <w:ilvl w:val="0"/>
          <w:numId w:val="29"/>
        </w:numPr>
        <w:spacing w:after="120"/>
        <w:ind w:left="1260"/>
        <w:rPr>
          <w:rFonts w:cstheme="minorHAnsi"/>
        </w:rPr>
      </w:pPr>
      <w:r w:rsidRPr="00AA55FA">
        <w:rPr>
          <w:rFonts w:cstheme="minorHAnsi"/>
        </w:rPr>
        <w:t>Improve Financial Management Data Standards: Improve management and use of financial data and accountability.</w:t>
      </w:r>
    </w:p>
    <w:p w14:paraId="31A1456C" w14:textId="68087CF4" w:rsidR="0006210B" w:rsidRPr="0006210B" w:rsidRDefault="00453B8D" w:rsidP="0006210B">
      <w:pPr>
        <w:pStyle w:val="ListParagraph"/>
        <w:numPr>
          <w:ilvl w:val="0"/>
          <w:numId w:val="29"/>
        </w:numPr>
        <w:spacing w:after="120"/>
        <w:ind w:left="1267"/>
        <w:contextualSpacing w:val="0"/>
      </w:pPr>
      <w:r w:rsidRPr="00AA55FA">
        <w:rPr>
          <w:rFonts w:cstheme="minorHAnsi"/>
        </w:rPr>
        <w:t>Develop Data Standards Repository: This will be developed government-wide, with communities, frameworks and schemas that ACL will follow</w:t>
      </w:r>
      <w:r w:rsidR="0006210B">
        <w:rPr>
          <w:rFonts w:cstheme="minorHAnsi"/>
        </w:rPr>
        <w:t xml:space="preserve"> to</w:t>
      </w:r>
      <w:r w:rsidRPr="00AA55FA">
        <w:rPr>
          <w:rFonts w:cstheme="minorHAnsi"/>
        </w:rPr>
        <w:t xml:space="preserve"> ensure data presented will be user friendly to technical and nontechnical users.</w:t>
      </w:r>
    </w:p>
    <w:p w14:paraId="4C19C0F4" w14:textId="623C4894" w:rsidR="00453B8D" w:rsidRPr="002825AE" w:rsidRDefault="0006210B" w:rsidP="00ED0A7D">
      <w:pPr>
        <w:pStyle w:val="ListParagraph"/>
        <w:numPr>
          <w:ilvl w:val="0"/>
          <w:numId w:val="28"/>
        </w:numPr>
        <w:ind w:left="720"/>
        <w:contextualSpacing w:val="0"/>
      </w:pPr>
      <w:r>
        <w:rPr>
          <w:rFonts w:cstheme="minorHAnsi"/>
        </w:rPr>
        <w:t xml:space="preserve">ACL may provide feedback for the </w:t>
      </w:r>
      <w:r w:rsidR="00453B8D" w:rsidRPr="0006210B">
        <w:rPr>
          <w:rFonts w:cstheme="minorHAnsi"/>
        </w:rPr>
        <w:t xml:space="preserve">Action Plans </w:t>
      </w:r>
      <w:r>
        <w:rPr>
          <w:rFonts w:cstheme="minorHAnsi"/>
        </w:rPr>
        <w:t>that are</w:t>
      </w:r>
      <w:r w:rsidR="00453B8D" w:rsidRPr="0006210B">
        <w:rPr>
          <w:rFonts w:cstheme="minorHAnsi"/>
        </w:rPr>
        <w:t xml:space="preserve"> produced annually</w:t>
      </w:r>
    </w:p>
    <w:p w14:paraId="5449AA03" w14:textId="77777777" w:rsidR="00453B8D" w:rsidRDefault="00453B8D" w:rsidP="003F6FEE">
      <w:pPr>
        <w:pStyle w:val="ListParagraph"/>
        <w:spacing w:before="220"/>
        <w:ind w:left="0"/>
        <w:contextualSpacing w:val="0"/>
        <w:rPr>
          <w:b/>
          <w:bCs/>
        </w:rPr>
      </w:pPr>
      <w:r>
        <w:rPr>
          <w:b/>
          <w:bCs/>
        </w:rPr>
        <w:t>How does it apply to specific ACL Centers/Programs?</w:t>
      </w:r>
    </w:p>
    <w:p w14:paraId="290C1753" w14:textId="491C455A" w:rsidR="00453B8D" w:rsidRDefault="00453B8D" w:rsidP="00453B8D">
      <w:pPr>
        <w:pStyle w:val="ListParagraph"/>
        <w:numPr>
          <w:ilvl w:val="0"/>
          <w:numId w:val="25"/>
        </w:numPr>
        <w:spacing w:after="0"/>
        <w:contextualSpacing w:val="0"/>
      </w:pPr>
      <w:r>
        <w:t>OPE</w:t>
      </w:r>
    </w:p>
    <w:p w14:paraId="45A13DA3" w14:textId="1157797C" w:rsidR="00323628" w:rsidRDefault="00323628" w:rsidP="00323628">
      <w:pPr>
        <w:pStyle w:val="ListParagraph"/>
        <w:numPr>
          <w:ilvl w:val="1"/>
          <w:numId w:val="25"/>
        </w:numPr>
        <w:spacing w:after="120"/>
        <w:ind w:left="1260"/>
        <w:rPr>
          <w:rFonts w:cstheme="minorHAnsi"/>
        </w:rPr>
      </w:pPr>
      <w:r w:rsidRPr="00AA55FA">
        <w:rPr>
          <w:rFonts w:cstheme="minorHAnsi"/>
        </w:rPr>
        <w:t>Allocate statistical, performance management, research, and evaluation efforts to the most critical questions that address the aging and disability communities</w:t>
      </w:r>
    </w:p>
    <w:p w14:paraId="5CC93F6C" w14:textId="63DC3C66" w:rsidR="00323628" w:rsidRDefault="00323628" w:rsidP="00323628">
      <w:pPr>
        <w:pStyle w:val="ListParagraph"/>
        <w:numPr>
          <w:ilvl w:val="1"/>
          <w:numId w:val="25"/>
        </w:numPr>
        <w:spacing w:after="120"/>
        <w:ind w:left="1260"/>
        <w:rPr>
          <w:rFonts w:cstheme="minorHAnsi"/>
        </w:rPr>
      </w:pPr>
      <w:r w:rsidRPr="00323628">
        <w:rPr>
          <w:rFonts w:cstheme="minorHAnsi"/>
        </w:rPr>
        <w:t>Consider what is valuable to ACL’s various stakeholder audiences (OPE/OEA)</w:t>
      </w:r>
    </w:p>
    <w:p w14:paraId="5C9D6B21" w14:textId="1305F14B" w:rsidR="00323628" w:rsidRDefault="00323628" w:rsidP="000E3D92">
      <w:pPr>
        <w:pStyle w:val="ListParagraph"/>
        <w:numPr>
          <w:ilvl w:val="1"/>
          <w:numId w:val="25"/>
        </w:numPr>
        <w:spacing w:after="120"/>
        <w:ind w:left="1267"/>
        <w:contextualSpacing w:val="0"/>
        <w:rPr>
          <w:rFonts w:cstheme="minorHAnsi"/>
        </w:rPr>
      </w:pPr>
      <w:r w:rsidRPr="00323628">
        <w:rPr>
          <w:rFonts w:cstheme="minorHAnsi"/>
        </w:rPr>
        <w:t>Consider whether appropriate language is included in ACL grants and contracts to have better control of data (OPE/Workgroup)</w:t>
      </w:r>
    </w:p>
    <w:p w14:paraId="1DA402F8" w14:textId="6CBCC801" w:rsidR="00323628" w:rsidRDefault="00323628" w:rsidP="00323628">
      <w:pPr>
        <w:pStyle w:val="ListParagraph"/>
        <w:numPr>
          <w:ilvl w:val="0"/>
          <w:numId w:val="25"/>
        </w:numPr>
        <w:spacing w:after="120"/>
        <w:rPr>
          <w:rFonts w:cstheme="minorHAnsi"/>
        </w:rPr>
      </w:pPr>
      <w:r>
        <w:rPr>
          <w:rFonts w:cstheme="minorHAnsi"/>
        </w:rPr>
        <w:t>OGM</w:t>
      </w:r>
    </w:p>
    <w:p w14:paraId="0A99A0B5" w14:textId="52772F71" w:rsidR="005D4579" w:rsidRDefault="00323628" w:rsidP="00453B8D">
      <w:pPr>
        <w:pStyle w:val="ListParagraph"/>
        <w:numPr>
          <w:ilvl w:val="1"/>
          <w:numId w:val="25"/>
        </w:numPr>
        <w:spacing w:after="120"/>
        <w:ind w:left="1260"/>
        <w:rPr>
          <w:rFonts w:cstheme="minorHAnsi"/>
        </w:rPr>
      </w:pPr>
      <w:r w:rsidRPr="00AA55FA">
        <w:rPr>
          <w:rFonts w:cstheme="minorHAnsi"/>
        </w:rPr>
        <w:t>Ensure results-oriented accountability for grant</w:t>
      </w:r>
      <w:r w:rsidR="00A12B51">
        <w:rPr>
          <w:rFonts w:cstheme="minorHAnsi"/>
        </w:rPr>
        <w:t>s</w:t>
      </w:r>
    </w:p>
    <w:p w14:paraId="5F0C8FD4" w14:textId="6DE8D4BF" w:rsidR="005D4579" w:rsidRPr="00A12B51" w:rsidRDefault="005D4579" w:rsidP="003F6FEE">
      <w:pPr>
        <w:spacing w:before="220"/>
        <w:rPr>
          <w:rFonts w:cstheme="minorHAnsi"/>
          <w:b/>
        </w:rPr>
      </w:pPr>
      <w:r w:rsidRPr="00A12B51">
        <w:rPr>
          <w:rFonts w:cstheme="minorHAnsi"/>
          <w:b/>
        </w:rPr>
        <w:t xml:space="preserve">Keywords: </w:t>
      </w:r>
      <w:r w:rsidRPr="00A12B51">
        <w:rPr>
          <w:rFonts w:cstheme="minorHAnsi"/>
        </w:rPr>
        <w:t xml:space="preserve">Innovation; Prioritization; Data </w:t>
      </w:r>
      <w:r w:rsidR="00A12B51">
        <w:rPr>
          <w:rFonts w:cstheme="minorHAnsi"/>
        </w:rPr>
        <w:t>c</w:t>
      </w:r>
      <w:r w:rsidRPr="00A12B51">
        <w:rPr>
          <w:rFonts w:cstheme="minorHAnsi"/>
        </w:rPr>
        <w:t>apacity</w:t>
      </w:r>
      <w:r w:rsidR="00311D53" w:rsidRPr="00A12B51">
        <w:rPr>
          <w:rFonts w:cstheme="minorHAnsi"/>
        </w:rPr>
        <w:t>; Tools</w:t>
      </w:r>
    </w:p>
    <w:tbl>
      <w:tblPr>
        <w:tblStyle w:val="TableGrid"/>
        <w:tblW w:w="9895" w:type="dxa"/>
        <w:shd w:val="clear" w:color="auto" w:fill="2F5496" w:themeFill="accent1" w:themeFillShade="BF"/>
        <w:tblLook w:val="04A0" w:firstRow="1" w:lastRow="0" w:firstColumn="1" w:lastColumn="0" w:noHBand="0" w:noVBand="1"/>
        <w:tblCaption w:val="Grant Reporting Efficiency and Agreements Transparency Act of 2019 (GREAT Act), H.R. 150, 116th Cong. (2019-2020)"/>
        <w:tblDescription w:val="Agency: n/a&#10;"/>
      </w:tblPr>
      <w:tblGrid>
        <w:gridCol w:w="9895"/>
      </w:tblGrid>
      <w:tr w:rsidR="00A12B51" w:rsidRPr="00A572F0" w14:paraId="03ACE117" w14:textId="77777777" w:rsidTr="000255C3">
        <w:trPr>
          <w:trHeight w:val="1250"/>
          <w:tblHeader/>
        </w:trPr>
        <w:tc>
          <w:tcPr>
            <w:tcW w:w="9895" w:type="dxa"/>
            <w:shd w:val="clear" w:color="auto" w:fill="2F5496" w:themeFill="accent1" w:themeFillShade="BF"/>
            <w:vAlign w:val="center"/>
          </w:tcPr>
          <w:p w14:paraId="026B9B79" w14:textId="77777777" w:rsidR="00A12B51" w:rsidRPr="008E2A26" w:rsidRDefault="00A12B51" w:rsidP="004073F7">
            <w:pPr>
              <w:pStyle w:val="Heading3"/>
              <w:numPr>
                <w:ilvl w:val="0"/>
                <w:numId w:val="0"/>
              </w:numPr>
              <w:outlineLvl w:val="2"/>
            </w:pPr>
            <w:bookmarkStart w:id="25" w:name="_Toc42706833"/>
            <w:r w:rsidRPr="008E2A26">
              <w:lastRenderedPageBreak/>
              <w:t xml:space="preserve">Title: </w:t>
            </w:r>
            <w:r w:rsidRPr="008E2A26">
              <w:rPr>
                <w:rStyle w:val="Heading3Char"/>
                <w:b/>
              </w:rPr>
              <w:t>Grant Reporting Efficiency and Agreements Transparency Act of 2019</w:t>
            </w:r>
            <w:r w:rsidRPr="008E2A26">
              <w:t xml:space="preserve"> (GREAT Act), H.R. 150, 116th Cong. (2019-2020)</w:t>
            </w:r>
            <w:bookmarkEnd w:id="25"/>
          </w:p>
          <w:p w14:paraId="753815E5" w14:textId="77777777" w:rsidR="00A12B51" w:rsidRPr="00A572F0" w:rsidRDefault="00A12B51" w:rsidP="004073F7">
            <w:pPr>
              <w:rPr>
                <w:color w:val="FFFFFF" w:themeColor="background1"/>
                <w:bdr w:val="none" w:sz="0" w:space="0" w:color="auto" w:frame="1"/>
              </w:rPr>
            </w:pPr>
            <w:r w:rsidRPr="00A572F0">
              <w:rPr>
                <w:b/>
                <w:bCs/>
                <w:color w:val="FFFFFF" w:themeColor="background1"/>
                <w:bdr w:val="none" w:sz="0" w:space="0" w:color="auto" w:frame="1"/>
              </w:rPr>
              <w:t xml:space="preserve">Agency: </w:t>
            </w:r>
            <w:r>
              <w:rPr>
                <w:b/>
                <w:bCs/>
                <w:color w:val="FFFFFF" w:themeColor="background1"/>
                <w:bdr w:val="none" w:sz="0" w:space="0" w:color="auto" w:frame="1"/>
              </w:rPr>
              <w:t>n/a</w:t>
            </w:r>
          </w:p>
        </w:tc>
      </w:tr>
    </w:tbl>
    <w:p w14:paraId="3069A912" w14:textId="77777777" w:rsidR="00826868" w:rsidRPr="006F5F1D" w:rsidRDefault="00826868" w:rsidP="003F6FEE">
      <w:pPr>
        <w:spacing w:before="220"/>
        <w:rPr>
          <w:b/>
          <w:bCs/>
        </w:rPr>
      </w:pPr>
      <w:r w:rsidRPr="006F5F1D">
        <w:rPr>
          <w:b/>
          <w:bCs/>
        </w:rPr>
        <w:t>Where can I find it?</w:t>
      </w:r>
    </w:p>
    <w:p w14:paraId="5F748972" w14:textId="77777777" w:rsidR="005367DB" w:rsidRDefault="00046E40" w:rsidP="00826868">
      <w:pPr>
        <w:pStyle w:val="ListParagraph"/>
        <w:numPr>
          <w:ilvl w:val="0"/>
          <w:numId w:val="21"/>
        </w:numPr>
      </w:pPr>
      <w:hyperlink r:id="rId15" w:history="1">
        <w:r w:rsidR="00826868">
          <w:rPr>
            <w:rStyle w:val="Hyperlink"/>
          </w:rPr>
          <w:t>GREAT Act</w:t>
        </w:r>
      </w:hyperlink>
      <w:r w:rsidR="00826868">
        <w:t xml:space="preserve"> </w:t>
      </w:r>
    </w:p>
    <w:p w14:paraId="58837C15" w14:textId="77777777" w:rsidR="00826868" w:rsidRPr="006F5F1D" w:rsidRDefault="00826868" w:rsidP="003F6FEE">
      <w:pPr>
        <w:spacing w:before="220"/>
        <w:rPr>
          <w:b/>
          <w:bCs/>
        </w:rPr>
      </w:pPr>
      <w:r w:rsidRPr="006F5F1D">
        <w:rPr>
          <w:b/>
          <w:bCs/>
        </w:rPr>
        <w:t>What is the purpose?</w:t>
      </w:r>
    </w:p>
    <w:p w14:paraId="01527856" w14:textId="77777777" w:rsidR="00826868" w:rsidRPr="00826868" w:rsidRDefault="00826868" w:rsidP="00826868">
      <w:pPr>
        <w:pStyle w:val="ListParagraph"/>
        <w:numPr>
          <w:ilvl w:val="0"/>
          <w:numId w:val="27"/>
        </w:numPr>
        <w:spacing w:after="120"/>
        <w:ind w:left="720"/>
        <w:contextualSpacing w:val="0"/>
        <w:rPr>
          <w:bdr w:val="none" w:sz="0" w:space="0" w:color="auto" w:frame="1"/>
        </w:rPr>
      </w:pPr>
      <w:r w:rsidRPr="00403224">
        <w:rPr>
          <w:rFonts w:cstheme="minorHAnsi"/>
        </w:rPr>
        <w:t>Modernize grantee reporting by creating and imposing data standards for required reporting</w:t>
      </w:r>
    </w:p>
    <w:p w14:paraId="2717117E" w14:textId="77777777" w:rsidR="00826868" w:rsidRPr="00826868" w:rsidRDefault="00826868" w:rsidP="00826868">
      <w:pPr>
        <w:pStyle w:val="ListParagraph"/>
        <w:numPr>
          <w:ilvl w:val="0"/>
          <w:numId w:val="27"/>
        </w:numPr>
        <w:spacing w:after="120"/>
        <w:ind w:left="720"/>
        <w:contextualSpacing w:val="0"/>
        <w:rPr>
          <w:bdr w:val="none" w:sz="0" w:space="0" w:color="auto" w:frame="1"/>
        </w:rPr>
      </w:pPr>
      <w:r w:rsidRPr="00403224">
        <w:rPr>
          <w:rFonts w:cstheme="minorHAnsi"/>
        </w:rPr>
        <w:t>Develop a “comprehensive taxonomy of standard definitions for core data elements required for managing Federal financial assistance awards''</w:t>
      </w:r>
    </w:p>
    <w:p w14:paraId="2EA3752E" w14:textId="77777777" w:rsidR="00826868" w:rsidRPr="00826868" w:rsidRDefault="00826868" w:rsidP="00826868">
      <w:pPr>
        <w:pStyle w:val="ListParagraph"/>
        <w:numPr>
          <w:ilvl w:val="0"/>
          <w:numId w:val="27"/>
        </w:numPr>
        <w:spacing w:after="120"/>
        <w:ind w:left="720"/>
        <w:contextualSpacing w:val="0"/>
        <w:rPr>
          <w:bdr w:val="none" w:sz="0" w:space="0" w:color="auto" w:frame="1"/>
        </w:rPr>
      </w:pPr>
      <w:r>
        <w:rPr>
          <w:rFonts w:cstheme="minorHAnsi"/>
        </w:rPr>
        <w:t>R</w:t>
      </w:r>
      <w:r w:rsidRPr="00403224">
        <w:rPr>
          <w:rFonts w:cstheme="minorHAnsi"/>
        </w:rPr>
        <w:t>educe burden and compliance costs of grant recipients by enabling technology solutions to better manage the data that recipients already provide to the Federal Government</w:t>
      </w:r>
    </w:p>
    <w:p w14:paraId="25E37392" w14:textId="6350DCAA" w:rsidR="00826868" w:rsidRPr="00453B8D" w:rsidRDefault="00826868" w:rsidP="00ED0A7D">
      <w:pPr>
        <w:pStyle w:val="ListParagraph"/>
        <w:numPr>
          <w:ilvl w:val="0"/>
          <w:numId w:val="27"/>
        </w:numPr>
        <w:ind w:left="720"/>
        <w:contextualSpacing w:val="0"/>
        <w:rPr>
          <w:bdr w:val="none" w:sz="0" w:space="0" w:color="auto" w:frame="1"/>
        </w:rPr>
      </w:pPr>
      <w:r>
        <w:rPr>
          <w:rFonts w:cstheme="minorHAnsi"/>
        </w:rPr>
        <w:t>S</w:t>
      </w:r>
      <w:r w:rsidRPr="00403224">
        <w:rPr>
          <w:rFonts w:cstheme="minorHAnsi"/>
        </w:rPr>
        <w:t>trengthen oversight and management of Federal grants and cooperative agreements by consolidating the collection and display of and access to open data that has been standardized and, where appropriate, increasing transparency to the public</w:t>
      </w:r>
    </w:p>
    <w:p w14:paraId="3FF852A0" w14:textId="77777777" w:rsidR="00826868" w:rsidRDefault="00826868" w:rsidP="003F6FEE">
      <w:pPr>
        <w:pStyle w:val="ListParagraph"/>
        <w:spacing w:before="220"/>
        <w:ind w:left="0"/>
        <w:contextualSpacing w:val="0"/>
        <w:rPr>
          <w:b/>
          <w:bCs/>
        </w:rPr>
      </w:pPr>
      <w:r>
        <w:rPr>
          <w:b/>
          <w:bCs/>
        </w:rPr>
        <w:t>How does it apply to ACL?</w:t>
      </w:r>
    </w:p>
    <w:p w14:paraId="72E7D031" w14:textId="77777777" w:rsidR="00F86D70" w:rsidRDefault="009C7DA2" w:rsidP="00F86D70">
      <w:pPr>
        <w:pStyle w:val="ListParagraph"/>
        <w:numPr>
          <w:ilvl w:val="0"/>
          <w:numId w:val="30"/>
        </w:numPr>
        <w:spacing w:after="120"/>
        <w:contextualSpacing w:val="0"/>
      </w:pPr>
      <w:r>
        <w:t xml:space="preserve">The </w:t>
      </w:r>
      <w:r w:rsidRPr="00403224">
        <w:t>GREAT Act focuses on modernizing the government-wide grant reporting system with universal core data elements for Federal financial assistance awards</w:t>
      </w:r>
      <w:r w:rsidR="00F86D70">
        <w:t xml:space="preserve">; the data elements </w:t>
      </w:r>
      <w:r w:rsidRPr="00403224">
        <w:t>are defined by a standard-setting agency</w:t>
      </w:r>
      <w:r w:rsidR="00F86D70">
        <w:t xml:space="preserve">; since </w:t>
      </w:r>
      <w:r w:rsidRPr="00403224">
        <w:t>HHS may be designated as the standard-setting agency</w:t>
      </w:r>
      <w:r w:rsidR="00F86D70">
        <w:t>,</w:t>
      </w:r>
      <w:r w:rsidRPr="00403224">
        <w:t xml:space="preserve"> ACL </w:t>
      </w:r>
      <w:r w:rsidR="00F86D70">
        <w:t>staff</w:t>
      </w:r>
      <w:r w:rsidRPr="00403224">
        <w:t xml:space="preserve"> </w:t>
      </w:r>
      <w:r w:rsidRPr="009C7DA2">
        <w:rPr>
          <w:i/>
          <w:u w:val="single"/>
        </w:rPr>
        <w:t>could</w:t>
      </w:r>
      <w:r w:rsidRPr="00403224">
        <w:t xml:space="preserve"> be tapped to participate in selecting the core data elements for government-wide use</w:t>
      </w:r>
    </w:p>
    <w:p w14:paraId="5CB57352" w14:textId="01F0187B" w:rsidR="009C7DA2" w:rsidRPr="00403224" w:rsidRDefault="009C7DA2" w:rsidP="00F86D70">
      <w:pPr>
        <w:pStyle w:val="ListParagraph"/>
        <w:numPr>
          <w:ilvl w:val="0"/>
          <w:numId w:val="30"/>
        </w:numPr>
      </w:pPr>
      <w:r w:rsidRPr="00403224">
        <w:t>One year after guidance is issued, ACL must</w:t>
      </w:r>
    </w:p>
    <w:p w14:paraId="3815F964" w14:textId="77777777" w:rsidR="009C7DA2" w:rsidRPr="00403224" w:rsidRDefault="009C7DA2" w:rsidP="00F86D70">
      <w:pPr>
        <w:pStyle w:val="ListParagraph"/>
        <w:numPr>
          <w:ilvl w:val="1"/>
          <w:numId w:val="31"/>
        </w:numPr>
        <w:spacing w:after="0"/>
        <w:ind w:left="1260"/>
        <w:contextualSpacing w:val="0"/>
      </w:pPr>
      <w:r w:rsidRPr="00403224">
        <w:t>comply with data standards for future information collections requests, and</w:t>
      </w:r>
    </w:p>
    <w:p w14:paraId="23348676" w14:textId="2AA86921" w:rsidR="009C7DA2" w:rsidRPr="00F86D70" w:rsidRDefault="009C7DA2" w:rsidP="00F86D70">
      <w:pPr>
        <w:pStyle w:val="ListParagraph"/>
        <w:numPr>
          <w:ilvl w:val="1"/>
          <w:numId w:val="31"/>
        </w:numPr>
        <w:spacing w:after="0"/>
        <w:ind w:left="1260"/>
        <w:contextualSpacing w:val="0"/>
        <w:rPr>
          <w:rFonts w:cstheme="minorHAnsi"/>
        </w:rPr>
      </w:pPr>
      <w:r w:rsidRPr="00403224">
        <w:t>amend existing information collection requests to comply with data standards</w:t>
      </w:r>
    </w:p>
    <w:p w14:paraId="58321A04" w14:textId="77777777" w:rsidR="00F86D70" w:rsidRDefault="00F86D70" w:rsidP="003F6FEE">
      <w:pPr>
        <w:pStyle w:val="ListParagraph"/>
        <w:spacing w:before="220"/>
        <w:ind w:left="0"/>
        <w:contextualSpacing w:val="0"/>
        <w:rPr>
          <w:b/>
          <w:bCs/>
        </w:rPr>
      </w:pPr>
      <w:r>
        <w:rPr>
          <w:b/>
          <w:bCs/>
        </w:rPr>
        <w:t>How does it apply to specific ACL Centers/Programs?</w:t>
      </w:r>
    </w:p>
    <w:p w14:paraId="15A6C543" w14:textId="02157260" w:rsidR="005367DB" w:rsidRDefault="00F86D70" w:rsidP="005367DB">
      <w:pPr>
        <w:pStyle w:val="ListParagraph"/>
        <w:numPr>
          <w:ilvl w:val="0"/>
          <w:numId w:val="32"/>
        </w:numPr>
        <w:rPr>
          <w:rFonts w:cstheme="minorHAnsi"/>
        </w:rPr>
      </w:pPr>
      <w:r w:rsidRPr="00403224">
        <w:t>The core data elements and associated grant reporting system changes are not program specific nor will changes affect outcome measures</w:t>
      </w:r>
      <w:r>
        <w:t xml:space="preserve">; </w:t>
      </w:r>
      <w:r>
        <w:rPr>
          <w:rFonts w:cstheme="minorHAnsi"/>
        </w:rPr>
        <w:t>e</w:t>
      </w:r>
      <w:r w:rsidRPr="00403224">
        <w:rPr>
          <w:rFonts w:cstheme="minorHAnsi"/>
        </w:rPr>
        <w:t>xceptions can be made for awards granted to Indian tribes and tribal organizations</w:t>
      </w:r>
    </w:p>
    <w:p w14:paraId="68157F66" w14:textId="1A43F351" w:rsidR="005D4579" w:rsidRPr="005D4579" w:rsidRDefault="005D4579" w:rsidP="003F6FEE">
      <w:pPr>
        <w:spacing w:before="440"/>
        <w:rPr>
          <w:rFonts w:cstheme="minorHAnsi"/>
          <w:b/>
        </w:rPr>
      </w:pPr>
      <w:r w:rsidRPr="005D4579">
        <w:rPr>
          <w:rFonts w:cstheme="minorHAnsi"/>
          <w:b/>
        </w:rPr>
        <w:t xml:space="preserve">Keywords: </w:t>
      </w:r>
      <w:r>
        <w:rPr>
          <w:rFonts w:cstheme="minorHAnsi"/>
        </w:rPr>
        <w:t xml:space="preserve">Grants; Reporting </w:t>
      </w:r>
      <w:r w:rsidR="00311D53">
        <w:rPr>
          <w:rFonts w:cstheme="minorHAnsi"/>
        </w:rPr>
        <w:t>standards</w:t>
      </w:r>
    </w:p>
    <w:p w14:paraId="3EAA9EA3" w14:textId="77777777" w:rsidR="00445279" w:rsidRPr="00A12B51" w:rsidRDefault="00445279">
      <w:pPr>
        <w:rPr>
          <w:rFonts w:cstheme="minorHAnsi"/>
        </w:rPr>
        <w:sectPr w:rsidR="00445279" w:rsidRPr="00A12B51" w:rsidSect="00ED0A7D">
          <w:pgSz w:w="12240" w:h="15840"/>
          <w:pgMar w:top="1440" w:right="1440" w:bottom="1260" w:left="1170" w:header="360" w:footer="540" w:gutter="0"/>
          <w:cols w:space="720"/>
          <w:titlePg/>
          <w:docGrid w:linePitch="360"/>
        </w:sectPr>
        <w:pPrChange w:id="26" w:author="Jenkins, Susan M. (ACL)" w:date="2020-06-04T14:34:00Z">
          <w:pPr>
            <w:pStyle w:val="ListParagraph"/>
            <w:numPr>
              <w:numId w:val="32"/>
            </w:numPr>
            <w:ind w:hanging="360"/>
          </w:pPr>
        </w:pPrChange>
      </w:pPr>
    </w:p>
    <w:tbl>
      <w:tblPr>
        <w:tblStyle w:val="TableGrid"/>
        <w:tblW w:w="9895" w:type="dxa"/>
        <w:shd w:val="clear" w:color="auto" w:fill="2F5496" w:themeFill="accent1" w:themeFillShade="BF"/>
        <w:tblLook w:val="04A0" w:firstRow="1" w:lastRow="0" w:firstColumn="1" w:lastColumn="0" w:noHBand="0" w:noVBand="1"/>
        <w:tblCaption w:val="Data Strategy White Paper"/>
        <w:tblDescription w:val="Agency: National Aeronautics and Space Administration (NASA)&#10;"/>
      </w:tblPr>
      <w:tblGrid>
        <w:gridCol w:w="9895"/>
      </w:tblGrid>
      <w:tr w:rsidR="005367DB" w:rsidRPr="00A572F0" w14:paraId="394329BB" w14:textId="77777777" w:rsidTr="000255C3">
        <w:trPr>
          <w:trHeight w:val="980"/>
          <w:tblHeader/>
        </w:trPr>
        <w:tc>
          <w:tcPr>
            <w:tcW w:w="9895" w:type="dxa"/>
            <w:shd w:val="clear" w:color="auto" w:fill="2F5496" w:themeFill="accent1" w:themeFillShade="BF"/>
            <w:vAlign w:val="center"/>
          </w:tcPr>
          <w:p w14:paraId="6258119A" w14:textId="429C8A23" w:rsidR="005367DB" w:rsidRPr="005367DB" w:rsidRDefault="005367DB" w:rsidP="005367DB">
            <w:pPr>
              <w:pStyle w:val="Heading3"/>
              <w:numPr>
                <w:ilvl w:val="0"/>
                <w:numId w:val="0"/>
              </w:numPr>
              <w:tabs>
                <w:tab w:val="left" w:pos="1215"/>
              </w:tabs>
              <w:outlineLvl w:val="2"/>
              <w:rPr>
                <w:szCs w:val="22"/>
                <w:bdr w:val="none" w:sz="0" w:space="0" w:color="auto" w:frame="1"/>
              </w:rPr>
            </w:pPr>
            <w:bookmarkStart w:id="27" w:name="_Toc40720800"/>
            <w:bookmarkStart w:id="28" w:name="_Toc42706834"/>
            <w:r w:rsidRPr="005367DB">
              <w:rPr>
                <w:szCs w:val="22"/>
              </w:rPr>
              <w:lastRenderedPageBreak/>
              <w:t>Title:</w:t>
            </w:r>
            <w:r w:rsidRPr="005367DB">
              <w:rPr>
                <w:b w:val="0"/>
                <w:bCs/>
                <w:szCs w:val="22"/>
                <w:bdr w:val="none" w:sz="0" w:space="0" w:color="auto" w:frame="1"/>
              </w:rPr>
              <w:t xml:space="preserve"> </w:t>
            </w:r>
            <w:r w:rsidRPr="008E2A26">
              <w:t>Data Strategy White Paper</w:t>
            </w:r>
            <w:bookmarkEnd w:id="27"/>
            <w:bookmarkEnd w:id="28"/>
          </w:p>
          <w:p w14:paraId="67A8293E" w14:textId="02E52388" w:rsidR="005367DB" w:rsidRPr="005367DB" w:rsidRDefault="005367DB" w:rsidP="005367DB">
            <w:pPr>
              <w:tabs>
                <w:tab w:val="left" w:pos="1215"/>
              </w:tabs>
              <w:rPr>
                <w:color w:val="FFFFFF" w:themeColor="background1"/>
                <w:bdr w:val="none" w:sz="0" w:space="0" w:color="auto" w:frame="1"/>
              </w:rPr>
            </w:pPr>
            <w:r w:rsidRPr="005367DB">
              <w:rPr>
                <w:b/>
                <w:bCs/>
                <w:color w:val="FFFFFF" w:themeColor="background1"/>
                <w:bdr w:val="none" w:sz="0" w:space="0" w:color="auto" w:frame="1"/>
              </w:rPr>
              <w:t xml:space="preserve">Agency: </w:t>
            </w:r>
            <w:r w:rsidR="001E3C06" w:rsidRPr="001E3C06">
              <w:rPr>
                <w:b/>
                <w:bCs/>
                <w:color w:val="FFFFFF" w:themeColor="background1"/>
                <w:bdr w:val="none" w:sz="0" w:space="0" w:color="auto" w:frame="1"/>
              </w:rPr>
              <w:t>National Aeronautics and Space Administration</w:t>
            </w:r>
            <w:r w:rsidR="001E3C06">
              <w:rPr>
                <w:b/>
                <w:bCs/>
                <w:color w:val="FFFFFF" w:themeColor="background1"/>
                <w:bdr w:val="none" w:sz="0" w:space="0" w:color="auto" w:frame="1"/>
              </w:rPr>
              <w:t xml:space="preserve"> (NASA)</w:t>
            </w:r>
          </w:p>
        </w:tc>
      </w:tr>
    </w:tbl>
    <w:p w14:paraId="783B6A02" w14:textId="77777777" w:rsidR="005367DB" w:rsidRPr="006F5F1D" w:rsidRDefault="005367DB" w:rsidP="003F6FEE">
      <w:pPr>
        <w:spacing w:before="220"/>
        <w:rPr>
          <w:b/>
          <w:bCs/>
        </w:rPr>
      </w:pPr>
      <w:r w:rsidRPr="006F5F1D">
        <w:rPr>
          <w:b/>
          <w:bCs/>
        </w:rPr>
        <w:t>Where can I find it?</w:t>
      </w:r>
    </w:p>
    <w:p w14:paraId="7B3B6F2F" w14:textId="45D9BC1F" w:rsidR="005367DB" w:rsidRDefault="00046E40" w:rsidP="005367DB">
      <w:pPr>
        <w:pStyle w:val="ListParagraph"/>
        <w:numPr>
          <w:ilvl w:val="0"/>
          <w:numId w:val="21"/>
        </w:numPr>
      </w:pPr>
      <w:hyperlink r:id="rId16" w:history="1">
        <w:r w:rsidR="005367DB">
          <w:rPr>
            <w:rStyle w:val="Hyperlink"/>
          </w:rPr>
          <w:t>NASA Data Strategy White Paper</w:t>
        </w:r>
      </w:hyperlink>
      <w:r w:rsidR="005367DB">
        <w:t xml:space="preserve">   </w:t>
      </w:r>
    </w:p>
    <w:p w14:paraId="6752A4EC" w14:textId="77777777" w:rsidR="005367DB" w:rsidRPr="006F5F1D" w:rsidRDefault="005367DB" w:rsidP="003F6FEE">
      <w:pPr>
        <w:spacing w:before="220"/>
        <w:rPr>
          <w:b/>
          <w:bCs/>
        </w:rPr>
      </w:pPr>
      <w:r w:rsidRPr="006F5F1D">
        <w:rPr>
          <w:b/>
          <w:bCs/>
        </w:rPr>
        <w:t>What is the purpose?</w:t>
      </w:r>
    </w:p>
    <w:p w14:paraId="0B09A6A1" w14:textId="074F5C9B" w:rsidR="005367DB" w:rsidRPr="005367DB" w:rsidRDefault="005367DB" w:rsidP="005367DB">
      <w:pPr>
        <w:pStyle w:val="ListParagraph"/>
        <w:numPr>
          <w:ilvl w:val="0"/>
          <w:numId w:val="21"/>
        </w:numPr>
        <w:spacing w:after="120"/>
        <w:contextualSpacing w:val="0"/>
        <w:rPr>
          <w:bdr w:val="none" w:sz="0" w:space="0" w:color="auto" w:frame="1"/>
        </w:rPr>
      </w:pPr>
      <w:r>
        <w:rPr>
          <w:rFonts w:cstheme="minorHAnsi"/>
        </w:rPr>
        <w:t>Establishes</w:t>
      </w:r>
      <w:r w:rsidRPr="00403224">
        <w:rPr>
          <w:rFonts w:cstheme="minorHAnsi"/>
        </w:rPr>
        <w:t xml:space="preserve"> NASA’s strategy to synchronize and leverage the variety of emerging analytic work across the agency</w:t>
      </w:r>
    </w:p>
    <w:p w14:paraId="0AA06A1F" w14:textId="3FAC540B" w:rsidR="005367DB" w:rsidRPr="005367DB" w:rsidRDefault="005367DB" w:rsidP="00ED0A7D">
      <w:pPr>
        <w:pStyle w:val="ListParagraph"/>
        <w:numPr>
          <w:ilvl w:val="0"/>
          <w:numId w:val="21"/>
        </w:numPr>
        <w:contextualSpacing w:val="0"/>
        <w:rPr>
          <w:bdr w:val="none" w:sz="0" w:space="0" w:color="auto" w:frame="1"/>
        </w:rPr>
      </w:pPr>
      <w:r>
        <w:rPr>
          <w:rFonts w:cstheme="minorHAnsi"/>
        </w:rPr>
        <w:t>Fo</w:t>
      </w:r>
      <w:r w:rsidRPr="00403224">
        <w:rPr>
          <w:rFonts w:cstheme="minorHAnsi"/>
        </w:rPr>
        <w:t>rms the basis for NASA’s high-level data strategy</w:t>
      </w:r>
      <w:r>
        <w:rPr>
          <w:rFonts w:cstheme="minorHAnsi"/>
        </w:rPr>
        <w:t>, outlining</w:t>
      </w:r>
      <w:r w:rsidRPr="00403224">
        <w:rPr>
          <w:rFonts w:cstheme="minorHAnsi"/>
        </w:rPr>
        <w:t xml:space="preserve"> notable challenges, </w:t>
      </w:r>
      <w:r>
        <w:rPr>
          <w:rFonts w:cstheme="minorHAnsi"/>
        </w:rPr>
        <w:t xml:space="preserve">examples, </w:t>
      </w:r>
      <w:r w:rsidRPr="00403224">
        <w:rPr>
          <w:rFonts w:cstheme="minorHAnsi"/>
        </w:rPr>
        <w:t>significant opportunities, and key recommendations on how the agency should proceed</w:t>
      </w:r>
    </w:p>
    <w:p w14:paraId="35CBA015" w14:textId="77777777" w:rsidR="005367DB" w:rsidRDefault="005367DB" w:rsidP="003F6FEE">
      <w:pPr>
        <w:pStyle w:val="ListParagraph"/>
        <w:spacing w:before="220"/>
        <w:ind w:left="0"/>
        <w:contextualSpacing w:val="0"/>
        <w:rPr>
          <w:b/>
          <w:bCs/>
        </w:rPr>
      </w:pPr>
      <w:r>
        <w:rPr>
          <w:b/>
          <w:bCs/>
        </w:rPr>
        <w:t>How does it apply to ACL?</w:t>
      </w:r>
    </w:p>
    <w:p w14:paraId="63C9DB10" w14:textId="4349BA22" w:rsidR="005367DB" w:rsidRPr="005367DB" w:rsidRDefault="00726887" w:rsidP="005367DB">
      <w:pPr>
        <w:pStyle w:val="ListParagraph"/>
        <w:numPr>
          <w:ilvl w:val="0"/>
          <w:numId w:val="30"/>
        </w:numPr>
        <w:spacing w:after="120"/>
        <w:contextualSpacing w:val="0"/>
      </w:pPr>
      <w:r>
        <w:rPr>
          <w:rFonts w:cstheme="minorHAnsi"/>
        </w:rPr>
        <w:t>Includes</w:t>
      </w:r>
      <w:r w:rsidR="005367DB" w:rsidRPr="005367DB">
        <w:rPr>
          <w:rFonts w:cstheme="minorHAnsi"/>
        </w:rPr>
        <w:t xml:space="preserve"> specific recommendations to address challenges that ACL faces.</w:t>
      </w:r>
    </w:p>
    <w:p w14:paraId="453C032F" w14:textId="77777777" w:rsidR="00726887" w:rsidRPr="00726887" w:rsidRDefault="00726887" w:rsidP="00726887">
      <w:pPr>
        <w:pStyle w:val="ListParagraph"/>
        <w:numPr>
          <w:ilvl w:val="0"/>
          <w:numId w:val="34"/>
        </w:numPr>
        <w:ind w:left="1260"/>
        <w:rPr>
          <w:rFonts w:cstheme="minorHAnsi"/>
        </w:rPr>
      </w:pPr>
      <w:r>
        <w:t>Challenges: l</w:t>
      </w:r>
      <w:r w:rsidR="005367DB" w:rsidRPr="0031759A">
        <w:t>ack of an explicit data management framework, fragmented data lifecycle, and lack of data integratio</w:t>
      </w:r>
      <w:r>
        <w:t>n</w:t>
      </w:r>
    </w:p>
    <w:p w14:paraId="51E5D47F" w14:textId="37C9B7D0" w:rsidR="005367DB" w:rsidRPr="0031759A" w:rsidRDefault="00726887" w:rsidP="00726887">
      <w:pPr>
        <w:pStyle w:val="ListParagraph"/>
        <w:numPr>
          <w:ilvl w:val="1"/>
          <w:numId w:val="34"/>
        </w:numPr>
        <w:ind w:left="1800"/>
        <w:rPr>
          <w:rFonts w:cstheme="minorHAnsi"/>
        </w:rPr>
      </w:pPr>
      <w:r>
        <w:t>R</w:t>
      </w:r>
      <w:r w:rsidR="005367DB" w:rsidRPr="0031759A">
        <w:t>ecommendation</w:t>
      </w:r>
      <w:r>
        <w:t>:</w:t>
      </w:r>
      <w:r w:rsidR="005367DB" w:rsidRPr="0031759A">
        <w:t xml:space="preserve"> data management, unified data lifecycle, data governance program</w:t>
      </w:r>
    </w:p>
    <w:p w14:paraId="01F52BF2" w14:textId="77777777" w:rsidR="00726887" w:rsidRPr="00726887" w:rsidRDefault="00726887" w:rsidP="00726887">
      <w:pPr>
        <w:pStyle w:val="ListParagraph"/>
        <w:numPr>
          <w:ilvl w:val="0"/>
          <w:numId w:val="34"/>
        </w:numPr>
        <w:ind w:left="1260"/>
        <w:rPr>
          <w:rFonts w:cstheme="minorHAnsi"/>
        </w:rPr>
      </w:pPr>
      <w:r>
        <w:t>Challenge: d</w:t>
      </w:r>
      <w:r w:rsidR="005367DB" w:rsidRPr="0031759A">
        <w:t>ata expertise gap</w:t>
      </w:r>
    </w:p>
    <w:p w14:paraId="4420F8EF" w14:textId="1A87BDC3" w:rsidR="00726887" w:rsidRPr="00726887" w:rsidRDefault="00726887" w:rsidP="00726887">
      <w:pPr>
        <w:pStyle w:val="ListParagraph"/>
        <w:numPr>
          <w:ilvl w:val="1"/>
          <w:numId w:val="34"/>
        </w:numPr>
        <w:ind w:left="1800"/>
        <w:rPr>
          <w:rFonts w:cstheme="minorHAnsi"/>
        </w:rPr>
      </w:pPr>
      <w:r>
        <w:t>R</w:t>
      </w:r>
      <w:r w:rsidR="005367DB" w:rsidRPr="0031759A">
        <w:t>ecommendation</w:t>
      </w:r>
      <w:r>
        <w:t xml:space="preserve">: </w:t>
      </w:r>
      <w:r w:rsidR="005367DB" w:rsidRPr="0031759A">
        <w:t>data fellows program</w:t>
      </w:r>
    </w:p>
    <w:p w14:paraId="5B2CA7D6" w14:textId="518FFAA1" w:rsidR="00726887" w:rsidRPr="00726887" w:rsidRDefault="00726887" w:rsidP="00726887">
      <w:pPr>
        <w:pStyle w:val="ListParagraph"/>
        <w:numPr>
          <w:ilvl w:val="0"/>
          <w:numId w:val="34"/>
        </w:numPr>
        <w:ind w:left="1260"/>
        <w:rPr>
          <w:rFonts w:cstheme="minorHAnsi"/>
        </w:rPr>
      </w:pPr>
      <w:r>
        <w:t>Challenge: n</w:t>
      </w:r>
      <w:r w:rsidR="005367DB" w:rsidRPr="0031759A">
        <w:t>eed to effectively address culture and policy issues alongside technology</w:t>
      </w:r>
    </w:p>
    <w:p w14:paraId="1E8DD185" w14:textId="0F396EF7" w:rsidR="005367DB" w:rsidRPr="00726887" w:rsidRDefault="00726887" w:rsidP="00ED0A7D">
      <w:pPr>
        <w:pStyle w:val="ListParagraph"/>
        <w:numPr>
          <w:ilvl w:val="1"/>
          <w:numId w:val="34"/>
        </w:numPr>
        <w:ind w:left="1800"/>
        <w:contextualSpacing w:val="0"/>
        <w:rPr>
          <w:rFonts w:cstheme="minorHAnsi"/>
        </w:rPr>
      </w:pPr>
      <w:r>
        <w:t>R</w:t>
      </w:r>
      <w:r w:rsidR="005367DB" w:rsidRPr="0031759A">
        <w:t>ecommendation</w:t>
      </w:r>
      <w:r>
        <w:t>:</w:t>
      </w:r>
      <w:r w:rsidR="005367DB" w:rsidRPr="0031759A">
        <w:t xml:space="preserve"> data stewards</w:t>
      </w:r>
      <w:r>
        <w:t xml:space="preserve"> </w:t>
      </w:r>
      <w:r w:rsidRPr="0031759A">
        <w:t>who can support good data governance with specific data sets/data collection activities as well as among Center staff</w:t>
      </w:r>
    </w:p>
    <w:p w14:paraId="41AB917D" w14:textId="77777777" w:rsidR="005367DB" w:rsidRDefault="005367DB" w:rsidP="003F6FEE">
      <w:pPr>
        <w:pStyle w:val="ListParagraph"/>
        <w:spacing w:before="220"/>
        <w:ind w:left="0"/>
        <w:contextualSpacing w:val="0"/>
        <w:rPr>
          <w:b/>
          <w:bCs/>
        </w:rPr>
      </w:pPr>
      <w:r>
        <w:rPr>
          <w:b/>
          <w:bCs/>
        </w:rPr>
        <w:t>How does it apply to specific ACL Centers/Programs?</w:t>
      </w:r>
    </w:p>
    <w:p w14:paraId="600E2C6C" w14:textId="597A57EC" w:rsidR="00403224" w:rsidRDefault="00726887" w:rsidP="00726887">
      <w:pPr>
        <w:pStyle w:val="ListParagraph"/>
        <w:numPr>
          <w:ilvl w:val="0"/>
          <w:numId w:val="30"/>
        </w:numPr>
        <w:rPr>
          <w:bdr w:val="none" w:sz="0" w:space="0" w:color="auto" w:frame="1"/>
        </w:rPr>
      </w:pPr>
      <w:r>
        <w:rPr>
          <w:bdr w:val="none" w:sz="0" w:space="0" w:color="auto" w:frame="1"/>
        </w:rPr>
        <w:t>OIRM</w:t>
      </w:r>
    </w:p>
    <w:p w14:paraId="458BE24F" w14:textId="71D99C4A" w:rsidR="00726887" w:rsidRPr="00726887" w:rsidRDefault="00726887" w:rsidP="00726887">
      <w:pPr>
        <w:pStyle w:val="ListParagraph"/>
        <w:numPr>
          <w:ilvl w:val="1"/>
          <w:numId w:val="30"/>
        </w:numPr>
        <w:spacing w:after="120"/>
        <w:ind w:left="1267"/>
        <w:contextualSpacing w:val="0"/>
        <w:rPr>
          <w:bdr w:val="none" w:sz="0" w:space="0" w:color="auto" w:frame="1"/>
        </w:rPr>
      </w:pPr>
      <w:r>
        <w:rPr>
          <w:rFonts w:cstheme="minorHAnsi"/>
        </w:rPr>
        <w:t>E</w:t>
      </w:r>
      <w:r w:rsidRPr="0031759A">
        <w:rPr>
          <w:rFonts w:cstheme="minorHAnsi"/>
        </w:rPr>
        <w:t xml:space="preserve">xplicit data management framework </w:t>
      </w:r>
      <w:r>
        <w:rPr>
          <w:rFonts w:cstheme="minorHAnsi"/>
        </w:rPr>
        <w:t xml:space="preserve">may </w:t>
      </w:r>
      <w:r w:rsidRPr="0031759A">
        <w:rPr>
          <w:rFonts w:cstheme="minorHAnsi"/>
        </w:rPr>
        <w:t>shape how OIRM develops and implements data collection systems</w:t>
      </w:r>
    </w:p>
    <w:p w14:paraId="738B9205" w14:textId="6B15B4F6" w:rsidR="005367DB" w:rsidRPr="00726887" w:rsidRDefault="00726887" w:rsidP="005367DB">
      <w:pPr>
        <w:pStyle w:val="ListParagraph"/>
        <w:numPr>
          <w:ilvl w:val="0"/>
          <w:numId w:val="30"/>
        </w:numPr>
        <w:rPr>
          <w:bdr w:val="none" w:sz="0" w:space="0" w:color="auto" w:frame="1"/>
        </w:rPr>
      </w:pPr>
      <w:r>
        <w:rPr>
          <w:rFonts w:cstheme="minorHAnsi"/>
        </w:rPr>
        <w:t>OPE</w:t>
      </w:r>
    </w:p>
    <w:p w14:paraId="3ACC2AA4" w14:textId="754BE8C9" w:rsidR="00726887" w:rsidRPr="001E3C06" w:rsidRDefault="00726887" w:rsidP="00A12B51">
      <w:pPr>
        <w:pStyle w:val="ListParagraph"/>
        <w:numPr>
          <w:ilvl w:val="1"/>
          <w:numId w:val="30"/>
        </w:numPr>
        <w:spacing w:after="0"/>
        <w:ind w:left="1260"/>
        <w:rPr>
          <w:bdr w:val="none" w:sz="0" w:space="0" w:color="auto" w:frame="1"/>
        </w:rPr>
      </w:pPr>
      <w:r w:rsidRPr="0031759A">
        <w:rPr>
          <w:rFonts w:cstheme="minorHAnsi"/>
        </w:rPr>
        <w:t xml:space="preserve">Initiating a data fellows program open to internal and external applicants </w:t>
      </w:r>
      <w:r>
        <w:rPr>
          <w:rFonts w:cstheme="minorHAnsi"/>
        </w:rPr>
        <w:t>may</w:t>
      </w:r>
      <w:r w:rsidRPr="0031759A">
        <w:rPr>
          <w:rFonts w:cstheme="minorHAnsi"/>
        </w:rPr>
        <w:t xml:space="preserve"> both increase ACL data capacity and help ACL to identify new opportunities for data</w:t>
      </w:r>
    </w:p>
    <w:p w14:paraId="130F53B1" w14:textId="69BF10CF" w:rsidR="005D4579" w:rsidRPr="000E35D2" w:rsidRDefault="005D4579" w:rsidP="003F6FEE">
      <w:pPr>
        <w:spacing w:before="440"/>
        <w:rPr>
          <w:rFonts w:cstheme="minorHAnsi"/>
          <w:b/>
        </w:rPr>
      </w:pPr>
      <w:r>
        <w:rPr>
          <w:rFonts w:cstheme="minorHAnsi"/>
          <w:b/>
        </w:rPr>
        <w:t xml:space="preserve">Keywords: </w:t>
      </w:r>
      <w:r>
        <w:rPr>
          <w:rFonts w:cstheme="minorHAnsi"/>
        </w:rPr>
        <w:t>Governance strategy; Data management framework</w:t>
      </w:r>
      <w:r w:rsidR="00311D53">
        <w:rPr>
          <w:rFonts w:cstheme="minorHAnsi"/>
        </w:rPr>
        <w:t xml:space="preserve">; Data </w:t>
      </w:r>
      <w:r w:rsidR="00A12B51">
        <w:rPr>
          <w:rFonts w:cstheme="minorHAnsi"/>
        </w:rPr>
        <w:t>g</w:t>
      </w:r>
      <w:r w:rsidR="00311D53">
        <w:rPr>
          <w:rFonts w:cstheme="minorHAnsi"/>
        </w:rPr>
        <w:t>overnance</w:t>
      </w:r>
    </w:p>
    <w:p w14:paraId="1CE334B7" w14:textId="77777777" w:rsidR="00361ACA" w:rsidRDefault="00361ACA">
      <w:pPr>
        <w:rPr>
          <w:bdr w:val="none" w:sz="0" w:space="0" w:color="auto" w:frame="1"/>
        </w:rPr>
        <w:sectPr w:rsidR="00361ACA" w:rsidSect="005070DC">
          <w:pgSz w:w="12240" w:h="15840"/>
          <w:pgMar w:top="1440" w:right="1440" w:bottom="1440" w:left="1170" w:header="360" w:footer="720" w:gutter="0"/>
          <w:cols w:space="720"/>
          <w:titlePg/>
          <w:docGrid w:linePitch="360"/>
        </w:sectPr>
        <w:pPrChange w:id="29" w:author="Jenkins, Susan M. (ACL)" w:date="2020-06-04T14:35:00Z">
          <w:pPr>
            <w:pStyle w:val="ListParagraph"/>
            <w:ind w:left="1260"/>
          </w:pPr>
        </w:pPrChange>
      </w:pPr>
    </w:p>
    <w:tbl>
      <w:tblPr>
        <w:tblStyle w:val="TableGrid"/>
        <w:tblW w:w="9895" w:type="dxa"/>
        <w:shd w:val="clear" w:color="auto" w:fill="2F5496" w:themeFill="accent1" w:themeFillShade="BF"/>
        <w:tblLook w:val="04A0" w:firstRow="1" w:lastRow="0" w:firstColumn="1" w:lastColumn="0" w:noHBand="0" w:noVBand="1"/>
        <w:tblCaption w:val="NIST Privacy Framework: A Tool for Improving Privacy Through Enterprise Risk Management (2020)"/>
        <w:tblDescription w:val="Agency: National Institute of Standards and Technology (NIST)&#10;"/>
      </w:tblPr>
      <w:tblGrid>
        <w:gridCol w:w="9895"/>
      </w:tblGrid>
      <w:tr w:rsidR="001E3C06" w:rsidRPr="00A572F0" w14:paraId="5B22208A" w14:textId="77777777" w:rsidTr="000255C3">
        <w:trPr>
          <w:trHeight w:val="980"/>
          <w:tblHeader/>
        </w:trPr>
        <w:tc>
          <w:tcPr>
            <w:tcW w:w="9895" w:type="dxa"/>
            <w:shd w:val="clear" w:color="auto" w:fill="2F5496" w:themeFill="accent1" w:themeFillShade="BF"/>
            <w:vAlign w:val="center"/>
          </w:tcPr>
          <w:p w14:paraId="03D555CD" w14:textId="2CC284C0" w:rsidR="001E3C06" w:rsidRPr="005367DB" w:rsidRDefault="001E3C06" w:rsidP="00AD3BFF">
            <w:pPr>
              <w:pStyle w:val="Heading3"/>
              <w:numPr>
                <w:ilvl w:val="0"/>
                <w:numId w:val="0"/>
              </w:numPr>
              <w:tabs>
                <w:tab w:val="left" w:pos="1215"/>
              </w:tabs>
              <w:outlineLvl w:val="2"/>
              <w:rPr>
                <w:szCs w:val="22"/>
                <w:bdr w:val="none" w:sz="0" w:space="0" w:color="auto" w:frame="1"/>
              </w:rPr>
            </w:pPr>
            <w:bookmarkStart w:id="30" w:name="_Toc40720801"/>
            <w:bookmarkStart w:id="31" w:name="_Toc42706835"/>
            <w:r w:rsidRPr="005367DB">
              <w:rPr>
                <w:szCs w:val="22"/>
              </w:rPr>
              <w:lastRenderedPageBreak/>
              <w:t>Title:</w:t>
            </w:r>
            <w:r w:rsidRPr="005367DB">
              <w:rPr>
                <w:b w:val="0"/>
                <w:bCs/>
                <w:szCs w:val="22"/>
                <w:bdr w:val="none" w:sz="0" w:space="0" w:color="auto" w:frame="1"/>
              </w:rPr>
              <w:t xml:space="preserve"> </w:t>
            </w:r>
            <w:r w:rsidRPr="008E2A26">
              <w:t>NIST Privacy Framework</w:t>
            </w:r>
            <w:r w:rsidRPr="001E3C06">
              <w:rPr>
                <w:szCs w:val="22"/>
              </w:rPr>
              <w:t xml:space="preserve">: A Tool for Improving Privacy </w:t>
            </w:r>
            <w:proofErr w:type="gramStart"/>
            <w:r w:rsidRPr="001E3C06">
              <w:rPr>
                <w:szCs w:val="22"/>
              </w:rPr>
              <w:t>Through</w:t>
            </w:r>
            <w:proofErr w:type="gramEnd"/>
            <w:r w:rsidRPr="001E3C06">
              <w:rPr>
                <w:szCs w:val="22"/>
              </w:rPr>
              <w:t xml:space="preserve"> Enterprise Risk Management</w:t>
            </w:r>
            <w:r>
              <w:rPr>
                <w:szCs w:val="22"/>
              </w:rPr>
              <w:t xml:space="preserve"> </w:t>
            </w:r>
            <w:r w:rsidRPr="001E3C06">
              <w:rPr>
                <w:szCs w:val="22"/>
              </w:rPr>
              <w:t>(2020)</w:t>
            </w:r>
            <w:bookmarkEnd w:id="30"/>
            <w:bookmarkEnd w:id="31"/>
          </w:p>
          <w:p w14:paraId="2A495A83" w14:textId="23B8A3EB" w:rsidR="001E3C06" w:rsidRPr="005367DB" w:rsidRDefault="001E3C06" w:rsidP="00AD3BFF">
            <w:pPr>
              <w:tabs>
                <w:tab w:val="left" w:pos="1215"/>
              </w:tabs>
              <w:rPr>
                <w:color w:val="FFFFFF" w:themeColor="background1"/>
                <w:bdr w:val="none" w:sz="0" w:space="0" w:color="auto" w:frame="1"/>
              </w:rPr>
            </w:pPr>
            <w:r w:rsidRPr="005367DB">
              <w:rPr>
                <w:b/>
                <w:bCs/>
                <w:color w:val="FFFFFF" w:themeColor="background1"/>
                <w:bdr w:val="none" w:sz="0" w:space="0" w:color="auto" w:frame="1"/>
              </w:rPr>
              <w:t xml:space="preserve">Agency: </w:t>
            </w:r>
            <w:r w:rsidRPr="001E3C06">
              <w:rPr>
                <w:b/>
                <w:bCs/>
                <w:color w:val="FFFFFF" w:themeColor="background1"/>
                <w:bdr w:val="none" w:sz="0" w:space="0" w:color="auto" w:frame="1"/>
              </w:rPr>
              <w:t>National Institute of Standards and Technology (NIST)</w:t>
            </w:r>
          </w:p>
        </w:tc>
      </w:tr>
    </w:tbl>
    <w:p w14:paraId="12F7490D" w14:textId="77777777" w:rsidR="001E3C06" w:rsidRPr="006F5F1D" w:rsidRDefault="001E3C06" w:rsidP="004073F7">
      <w:pPr>
        <w:spacing w:before="220"/>
        <w:rPr>
          <w:b/>
          <w:bCs/>
        </w:rPr>
      </w:pPr>
      <w:r w:rsidRPr="006F5F1D">
        <w:rPr>
          <w:b/>
          <w:bCs/>
        </w:rPr>
        <w:t>Where can I find it?</w:t>
      </w:r>
    </w:p>
    <w:p w14:paraId="33BA2BE0" w14:textId="4ACBE0D2" w:rsidR="001E3C06" w:rsidRDefault="00046E40" w:rsidP="001E3C06">
      <w:pPr>
        <w:pStyle w:val="ListParagraph"/>
        <w:numPr>
          <w:ilvl w:val="0"/>
          <w:numId w:val="21"/>
        </w:numPr>
      </w:pPr>
      <w:hyperlink r:id="rId17" w:history="1">
        <w:r w:rsidR="001E3C06" w:rsidRPr="002E5323">
          <w:rPr>
            <w:rStyle w:val="Hyperlink"/>
          </w:rPr>
          <w:t>NIST Privacy Framework</w:t>
        </w:r>
      </w:hyperlink>
      <w:r w:rsidR="001E3C06">
        <w:t xml:space="preserve"> </w:t>
      </w:r>
    </w:p>
    <w:p w14:paraId="7F6BD7EE" w14:textId="77777777" w:rsidR="001E3C06" w:rsidRPr="006F5F1D" w:rsidRDefault="001E3C06" w:rsidP="004073F7">
      <w:pPr>
        <w:spacing w:before="220"/>
        <w:rPr>
          <w:b/>
          <w:bCs/>
        </w:rPr>
      </w:pPr>
      <w:r w:rsidRPr="006F5F1D">
        <w:rPr>
          <w:b/>
          <w:bCs/>
        </w:rPr>
        <w:t>What is the purpose?</w:t>
      </w:r>
    </w:p>
    <w:p w14:paraId="79E2F81B" w14:textId="77777777" w:rsidR="006B237D" w:rsidRPr="006B237D" w:rsidRDefault="006B237D" w:rsidP="001E3C06">
      <w:pPr>
        <w:pStyle w:val="ListParagraph"/>
        <w:numPr>
          <w:ilvl w:val="0"/>
          <w:numId w:val="21"/>
        </w:numPr>
        <w:spacing w:after="120"/>
        <w:contextualSpacing w:val="0"/>
        <w:rPr>
          <w:bdr w:val="none" w:sz="0" w:space="0" w:color="auto" w:frame="1"/>
        </w:rPr>
      </w:pPr>
      <w:r>
        <w:rPr>
          <w:rFonts w:cstheme="minorHAnsi"/>
        </w:rPr>
        <w:t>P</w:t>
      </w:r>
      <w:r w:rsidRPr="00B64B51">
        <w:rPr>
          <w:rFonts w:cstheme="minorHAnsi"/>
        </w:rPr>
        <w:t>rovides a set of privacy protection strategies for organizations that wish to improve their approach to using and protecting personal data; also provides clarification about privacy risk management concepts and the relationship between the privacy framework and NIST’s cybersecurity framework</w:t>
      </w:r>
    </w:p>
    <w:p w14:paraId="53B4A13F" w14:textId="408303B7" w:rsidR="001E3C06" w:rsidRPr="006B237D" w:rsidRDefault="006B237D" w:rsidP="006B237D">
      <w:pPr>
        <w:pStyle w:val="ListParagraph"/>
        <w:numPr>
          <w:ilvl w:val="0"/>
          <w:numId w:val="21"/>
        </w:numPr>
        <w:spacing w:after="120"/>
        <w:contextualSpacing w:val="0"/>
        <w:rPr>
          <w:bdr w:val="none" w:sz="0" w:space="0" w:color="auto" w:frame="1"/>
        </w:rPr>
      </w:pPr>
      <w:r w:rsidRPr="002E5323">
        <w:rPr>
          <w:rFonts w:cstheme="minorHAnsi"/>
        </w:rPr>
        <w:t>Help organizations build better privacy foundations by bringing privacy risk into parity with their broader enterprise risk portfolio</w:t>
      </w:r>
    </w:p>
    <w:p w14:paraId="7D324E41" w14:textId="6BCF36EB" w:rsidR="006B237D" w:rsidRPr="006B237D" w:rsidRDefault="006B237D" w:rsidP="006B237D">
      <w:pPr>
        <w:pStyle w:val="ListParagraph"/>
        <w:numPr>
          <w:ilvl w:val="0"/>
          <w:numId w:val="21"/>
        </w:numPr>
        <w:spacing w:after="0"/>
        <w:contextualSpacing w:val="0"/>
        <w:rPr>
          <w:bdr w:val="none" w:sz="0" w:space="0" w:color="auto" w:frame="1"/>
        </w:rPr>
      </w:pPr>
      <w:r>
        <w:rPr>
          <w:rFonts w:cstheme="minorHAnsi"/>
        </w:rPr>
        <w:t>Consists of three parts</w:t>
      </w:r>
    </w:p>
    <w:p w14:paraId="6BE7E797" w14:textId="61E118A3" w:rsidR="006B237D" w:rsidRPr="006B237D" w:rsidRDefault="006B237D" w:rsidP="006B237D">
      <w:pPr>
        <w:pStyle w:val="ListParagraph"/>
        <w:numPr>
          <w:ilvl w:val="1"/>
          <w:numId w:val="21"/>
        </w:numPr>
        <w:spacing w:after="0"/>
        <w:ind w:left="1260"/>
        <w:contextualSpacing w:val="0"/>
        <w:rPr>
          <w:bdr w:val="none" w:sz="0" w:space="0" w:color="auto" w:frame="1"/>
        </w:rPr>
      </w:pPr>
      <w:r w:rsidRPr="006B237D">
        <w:rPr>
          <w:rFonts w:cstheme="minorHAnsi"/>
        </w:rPr>
        <w:t xml:space="preserve">Core: Privacy protection activities and outcomes </w:t>
      </w:r>
    </w:p>
    <w:p w14:paraId="56FCD14A" w14:textId="77777777" w:rsidR="006B237D" w:rsidRDefault="006B237D" w:rsidP="006B237D">
      <w:pPr>
        <w:pStyle w:val="ListParagraph"/>
        <w:numPr>
          <w:ilvl w:val="1"/>
          <w:numId w:val="21"/>
        </w:numPr>
        <w:ind w:left="1260"/>
        <w:rPr>
          <w:rFonts w:cstheme="minorHAnsi"/>
        </w:rPr>
      </w:pPr>
      <w:r w:rsidRPr="002E5323">
        <w:rPr>
          <w:rFonts w:cstheme="minorHAnsi"/>
        </w:rPr>
        <w:t xml:space="preserve">Profiles: </w:t>
      </w:r>
      <w:r>
        <w:rPr>
          <w:rFonts w:cstheme="minorHAnsi"/>
        </w:rPr>
        <w:t>C</w:t>
      </w:r>
      <w:r w:rsidRPr="002E5323">
        <w:rPr>
          <w:rFonts w:cstheme="minorHAnsi"/>
        </w:rPr>
        <w:t>urrent profiles and target profiles</w:t>
      </w:r>
      <w:r>
        <w:rPr>
          <w:rFonts w:cstheme="minorHAnsi"/>
        </w:rPr>
        <w:t>;</w:t>
      </w:r>
      <w:r w:rsidRPr="002E5323">
        <w:rPr>
          <w:rFonts w:cstheme="minorHAnsi"/>
        </w:rPr>
        <w:t xml:space="preserve"> used to identify gaps and communicate privacy risk management</w:t>
      </w:r>
    </w:p>
    <w:p w14:paraId="1D7D32AD" w14:textId="7656E26D" w:rsidR="006B237D" w:rsidRPr="006B237D" w:rsidRDefault="006B237D" w:rsidP="00ED0A7D">
      <w:pPr>
        <w:pStyle w:val="ListParagraph"/>
        <w:numPr>
          <w:ilvl w:val="1"/>
          <w:numId w:val="21"/>
        </w:numPr>
        <w:ind w:left="1267"/>
        <w:contextualSpacing w:val="0"/>
        <w:rPr>
          <w:rFonts w:cstheme="minorHAnsi"/>
        </w:rPr>
      </w:pPr>
      <w:r w:rsidRPr="006B237D">
        <w:rPr>
          <w:rFonts w:cstheme="minorHAnsi"/>
        </w:rPr>
        <w:t>Implementation Tiers: reference points of organization privacy risk views and the current state of risk management</w:t>
      </w:r>
    </w:p>
    <w:p w14:paraId="539ADB82" w14:textId="77777777" w:rsidR="001E3C06" w:rsidRDefault="001E3C06" w:rsidP="004073F7">
      <w:pPr>
        <w:pStyle w:val="ListParagraph"/>
        <w:spacing w:before="220"/>
        <w:ind w:left="0"/>
        <w:contextualSpacing w:val="0"/>
        <w:rPr>
          <w:b/>
          <w:bCs/>
        </w:rPr>
      </w:pPr>
      <w:r>
        <w:rPr>
          <w:b/>
          <w:bCs/>
        </w:rPr>
        <w:t>How does it apply to ACL?</w:t>
      </w:r>
    </w:p>
    <w:p w14:paraId="163DD4E0" w14:textId="77777777" w:rsidR="006B237D" w:rsidRPr="006B237D" w:rsidRDefault="006B237D" w:rsidP="006B237D">
      <w:pPr>
        <w:pStyle w:val="ListParagraph"/>
        <w:numPr>
          <w:ilvl w:val="0"/>
          <w:numId w:val="35"/>
        </w:numPr>
        <w:spacing w:after="120"/>
        <w:ind w:left="720"/>
        <w:contextualSpacing w:val="0"/>
        <w:rPr>
          <w:bdr w:val="none" w:sz="0" w:space="0" w:color="auto" w:frame="1"/>
        </w:rPr>
      </w:pPr>
      <w:r w:rsidRPr="00B64B51">
        <w:t xml:space="preserve">Beneficial for </w:t>
      </w:r>
      <w:r>
        <w:t xml:space="preserve">ACL’s </w:t>
      </w:r>
      <w:r w:rsidRPr="00B64B51">
        <w:t>state, contractual, and grantee partners who expect their interactions with ACL systems will not cause adverse consequences to their networks</w:t>
      </w:r>
    </w:p>
    <w:p w14:paraId="48BD4DED" w14:textId="2E5043A9" w:rsidR="006B237D" w:rsidRPr="006B237D" w:rsidRDefault="006B237D" w:rsidP="006B237D">
      <w:pPr>
        <w:pStyle w:val="ListParagraph"/>
        <w:numPr>
          <w:ilvl w:val="0"/>
          <w:numId w:val="35"/>
        </w:numPr>
        <w:spacing w:after="120"/>
        <w:ind w:left="720"/>
        <w:contextualSpacing w:val="0"/>
        <w:rPr>
          <w:bdr w:val="none" w:sz="0" w:space="0" w:color="auto" w:frame="1"/>
        </w:rPr>
      </w:pPr>
      <w:r w:rsidRPr="00B64B51">
        <w:t xml:space="preserve">During new tool development: to create the privacy framework, NIST conducted public workshops, requests for information (RFI), </w:t>
      </w:r>
      <w:proofErr w:type="gramStart"/>
      <w:r w:rsidRPr="00B64B51">
        <w:t>requests</w:t>
      </w:r>
      <w:proofErr w:type="gramEnd"/>
      <w:r w:rsidRPr="00B64B51">
        <w:t xml:space="preserve"> for comments (RFC), webinars, and stakeholder interaction. ACL may use similar methods to engage our state partners and stakeholders</w:t>
      </w:r>
    </w:p>
    <w:p w14:paraId="4967C75F" w14:textId="01901158" w:rsidR="00D32C70" w:rsidRPr="00D32C70" w:rsidRDefault="006B237D" w:rsidP="00ED0A7D">
      <w:pPr>
        <w:pStyle w:val="ListParagraph"/>
        <w:numPr>
          <w:ilvl w:val="0"/>
          <w:numId w:val="35"/>
        </w:numPr>
        <w:ind w:left="720"/>
        <w:contextualSpacing w:val="0"/>
        <w:rPr>
          <w:bdr w:val="none" w:sz="0" w:space="0" w:color="auto" w:frame="1"/>
        </w:rPr>
      </w:pPr>
      <w:r w:rsidRPr="00B64B51">
        <w:t xml:space="preserve">Privacy risk assessments can help </w:t>
      </w:r>
      <w:r>
        <w:t>ACL</w:t>
      </w:r>
      <w:r w:rsidRPr="00B64B51">
        <w:t xml:space="preserve"> understand in a given context the values to protect, the methods to employ, and how to balance implementation of different types of measures</w:t>
      </w:r>
    </w:p>
    <w:p w14:paraId="20075F8F" w14:textId="77777777" w:rsidR="00D32C70" w:rsidRDefault="00D32C70" w:rsidP="004073F7">
      <w:pPr>
        <w:pStyle w:val="ListParagraph"/>
        <w:spacing w:before="220"/>
        <w:ind w:left="0"/>
        <w:contextualSpacing w:val="0"/>
        <w:rPr>
          <w:b/>
          <w:bCs/>
        </w:rPr>
      </w:pPr>
      <w:r>
        <w:rPr>
          <w:b/>
          <w:bCs/>
        </w:rPr>
        <w:t>How does it apply to specific ACL Centers/Programs?</w:t>
      </w:r>
    </w:p>
    <w:p w14:paraId="1F22507D" w14:textId="77777777" w:rsidR="00A12B51" w:rsidRDefault="00585B02" w:rsidP="00A12B51">
      <w:pPr>
        <w:pStyle w:val="ListParagraph"/>
        <w:numPr>
          <w:ilvl w:val="0"/>
          <w:numId w:val="26"/>
        </w:numPr>
        <w:spacing w:after="120"/>
        <w:ind w:left="720"/>
        <w:contextualSpacing w:val="0"/>
      </w:pPr>
      <w:r>
        <w:t>Ca</w:t>
      </w:r>
      <w:r w:rsidR="00700D9E">
        <w:t>n be applied by offices/programs as they submit performance data for presentation on AGID (e.g., CIL/ILS data)</w:t>
      </w:r>
    </w:p>
    <w:p w14:paraId="1E9E1DB3" w14:textId="128BFAD4" w:rsidR="00585B02" w:rsidRDefault="00585B02" w:rsidP="00A12B51">
      <w:pPr>
        <w:pStyle w:val="ListParagraph"/>
        <w:numPr>
          <w:ilvl w:val="0"/>
          <w:numId w:val="26"/>
        </w:numPr>
        <w:spacing w:after="0"/>
        <w:ind w:left="720"/>
      </w:pPr>
      <w:r>
        <w:t>Can be used to develop standard operating procedures for privacy reviews and data certification</w:t>
      </w:r>
    </w:p>
    <w:p w14:paraId="1E9C913E" w14:textId="0F5C57D5" w:rsidR="005D4579" w:rsidRPr="000E35D2" w:rsidRDefault="005D4579" w:rsidP="004073F7">
      <w:pPr>
        <w:spacing w:before="440"/>
        <w:rPr>
          <w:rFonts w:cstheme="minorHAnsi"/>
          <w:b/>
        </w:rPr>
      </w:pPr>
      <w:r>
        <w:rPr>
          <w:rFonts w:cstheme="minorHAnsi"/>
          <w:b/>
        </w:rPr>
        <w:t xml:space="preserve">Keywords: </w:t>
      </w:r>
      <w:r>
        <w:rPr>
          <w:rFonts w:cstheme="minorHAnsi"/>
        </w:rPr>
        <w:t>Privacy; Risk</w:t>
      </w:r>
    </w:p>
    <w:p w14:paraId="7E9B07B0" w14:textId="77777777" w:rsidR="00361ACA" w:rsidRDefault="00361ACA">
      <w:pPr>
        <w:rPr>
          <w:bdr w:val="none" w:sz="0" w:space="0" w:color="auto" w:frame="1"/>
        </w:rPr>
        <w:sectPr w:rsidR="00361ACA" w:rsidSect="005070DC">
          <w:pgSz w:w="12240" w:h="15840"/>
          <w:pgMar w:top="1440" w:right="1440" w:bottom="1440" w:left="1170" w:header="360" w:footer="720" w:gutter="0"/>
          <w:cols w:space="720"/>
          <w:titlePg/>
          <w:docGrid w:linePitch="360"/>
        </w:sectPr>
      </w:pPr>
    </w:p>
    <w:tbl>
      <w:tblPr>
        <w:tblStyle w:val="TableGrid"/>
        <w:tblW w:w="9895" w:type="dxa"/>
        <w:shd w:val="clear" w:color="auto" w:fill="2F5496" w:themeFill="accent1" w:themeFillShade="BF"/>
        <w:tblLook w:val="04A0" w:firstRow="1" w:lastRow="0" w:firstColumn="1" w:lastColumn="0" w:noHBand="0" w:noVBand="1"/>
        <w:tblCaption w:val="A Playbook in Support of the Federal Data Strategy. Getting Started on: Prioritizing Data Governance and Assessing Maturity (2019)"/>
        <w:tblDescription w:val="Agency: Office of Management and Budget (OMB)&#10;"/>
      </w:tblPr>
      <w:tblGrid>
        <w:gridCol w:w="9895"/>
      </w:tblGrid>
      <w:tr w:rsidR="00A2679B" w:rsidRPr="00A572F0" w14:paraId="2590508F" w14:textId="77777777" w:rsidTr="000255C3">
        <w:trPr>
          <w:trHeight w:val="980"/>
          <w:tblHeader/>
        </w:trPr>
        <w:tc>
          <w:tcPr>
            <w:tcW w:w="9895" w:type="dxa"/>
            <w:shd w:val="clear" w:color="auto" w:fill="2F5496" w:themeFill="accent1" w:themeFillShade="BF"/>
            <w:vAlign w:val="center"/>
          </w:tcPr>
          <w:p w14:paraId="4CDD8B61" w14:textId="17063C69" w:rsidR="00A2679B" w:rsidRPr="005367DB" w:rsidRDefault="00A2679B" w:rsidP="0076263B">
            <w:pPr>
              <w:pStyle w:val="Heading3"/>
              <w:numPr>
                <w:ilvl w:val="0"/>
                <w:numId w:val="0"/>
              </w:numPr>
              <w:tabs>
                <w:tab w:val="left" w:pos="1215"/>
              </w:tabs>
              <w:ind w:left="513" w:hanging="513"/>
              <w:outlineLvl w:val="2"/>
              <w:rPr>
                <w:szCs w:val="22"/>
                <w:bdr w:val="none" w:sz="0" w:space="0" w:color="auto" w:frame="1"/>
              </w:rPr>
            </w:pPr>
            <w:bookmarkStart w:id="32" w:name="_Toc40720802"/>
            <w:bookmarkStart w:id="33" w:name="_Toc42706836"/>
            <w:r w:rsidRPr="005367DB">
              <w:rPr>
                <w:szCs w:val="22"/>
              </w:rPr>
              <w:lastRenderedPageBreak/>
              <w:t>Title:</w:t>
            </w:r>
            <w:r w:rsidRPr="005367DB">
              <w:rPr>
                <w:b w:val="0"/>
                <w:bCs/>
                <w:szCs w:val="22"/>
                <w:bdr w:val="none" w:sz="0" w:space="0" w:color="auto" w:frame="1"/>
              </w:rPr>
              <w:t xml:space="preserve"> </w:t>
            </w:r>
            <w:r w:rsidR="0076263B" w:rsidRPr="008E2A26">
              <w:t>A Playbook in Support of the Federal Data Strategy</w:t>
            </w:r>
            <w:r w:rsidR="0076263B" w:rsidRPr="0076263B">
              <w:rPr>
                <w:szCs w:val="22"/>
              </w:rPr>
              <w:t>. Getting Started on: Prioritizing Data Governance and Assessing Maturity</w:t>
            </w:r>
            <w:r w:rsidR="0076263B">
              <w:rPr>
                <w:szCs w:val="22"/>
              </w:rPr>
              <w:t xml:space="preserve"> (2019)</w:t>
            </w:r>
            <w:bookmarkEnd w:id="32"/>
            <w:bookmarkEnd w:id="33"/>
          </w:p>
          <w:p w14:paraId="6A38F15C" w14:textId="16F38D09" w:rsidR="00A2679B" w:rsidRPr="005367DB" w:rsidRDefault="00A2679B" w:rsidP="00AD3BFF">
            <w:pPr>
              <w:tabs>
                <w:tab w:val="left" w:pos="1215"/>
              </w:tabs>
              <w:rPr>
                <w:color w:val="FFFFFF" w:themeColor="background1"/>
                <w:bdr w:val="none" w:sz="0" w:space="0" w:color="auto" w:frame="1"/>
              </w:rPr>
            </w:pPr>
            <w:r w:rsidRPr="005367DB">
              <w:rPr>
                <w:b/>
                <w:bCs/>
                <w:color w:val="FFFFFF" w:themeColor="background1"/>
                <w:bdr w:val="none" w:sz="0" w:space="0" w:color="auto" w:frame="1"/>
              </w:rPr>
              <w:t xml:space="preserve">Agency: </w:t>
            </w:r>
            <w:r w:rsidR="0076263B" w:rsidRPr="0076263B">
              <w:rPr>
                <w:b/>
                <w:bCs/>
                <w:color w:val="FFFFFF" w:themeColor="background1"/>
                <w:bdr w:val="none" w:sz="0" w:space="0" w:color="auto" w:frame="1"/>
              </w:rPr>
              <w:t>Office of Management and Budget</w:t>
            </w:r>
            <w:r w:rsidR="0076263B">
              <w:rPr>
                <w:b/>
                <w:bCs/>
                <w:color w:val="FFFFFF" w:themeColor="background1"/>
                <w:bdr w:val="none" w:sz="0" w:space="0" w:color="auto" w:frame="1"/>
              </w:rPr>
              <w:t xml:space="preserve"> (OMB)</w:t>
            </w:r>
          </w:p>
        </w:tc>
      </w:tr>
    </w:tbl>
    <w:p w14:paraId="41352F5B" w14:textId="77777777" w:rsidR="00A2679B" w:rsidRPr="006F5F1D" w:rsidRDefault="00A2679B" w:rsidP="004073F7">
      <w:pPr>
        <w:spacing w:before="220"/>
        <w:rPr>
          <w:b/>
          <w:bCs/>
        </w:rPr>
      </w:pPr>
      <w:r w:rsidRPr="006F5F1D">
        <w:rPr>
          <w:b/>
          <w:bCs/>
        </w:rPr>
        <w:t>Where can I find it?</w:t>
      </w:r>
    </w:p>
    <w:p w14:paraId="2ED188F7" w14:textId="37803DC7" w:rsidR="00A2679B" w:rsidRDefault="00046E40" w:rsidP="00A2679B">
      <w:pPr>
        <w:pStyle w:val="ListParagraph"/>
        <w:numPr>
          <w:ilvl w:val="0"/>
          <w:numId w:val="21"/>
        </w:numPr>
      </w:pPr>
      <w:hyperlink r:id="rId18" w:history="1">
        <w:r w:rsidR="00A2679B">
          <w:rPr>
            <w:rStyle w:val="Hyperlink"/>
          </w:rPr>
          <w:t>OMB Playbook</w:t>
        </w:r>
      </w:hyperlink>
    </w:p>
    <w:p w14:paraId="3BFE7BB5" w14:textId="5DC2DFDF" w:rsidR="00A2679B" w:rsidRPr="004073F7" w:rsidRDefault="00A2679B" w:rsidP="004073F7">
      <w:pPr>
        <w:spacing w:before="220"/>
        <w:rPr>
          <w:b/>
          <w:bCs/>
        </w:rPr>
      </w:pPr>
      <w:r w:rsidRPr="004073F7">
        <w:rPr>
          <w:b/>
          <w:bCs/>
        </w:rPr>
        <w:t>What is the purpose?</w:t>
      </w:r>
    </w:p>
    <w:p w14:paraId="1DD1C0FB" w14:textId="77777777" w:rsidR="0076263B" w:rsidRPr="0076263B" w:rsidRDefault="0076263B" w:rsidP="0076263B">
      <w:pPr>
        <w:pStyle w:val="ListParagraph"/>
        <w:numPr>
          <w:ilvl w:val="0"/>
          <w:numId w:val="21"/>
        </w:numPr>
        <w:spacing w:after="120"/>
        <w:contextualSpacing w:val="0"/>
        <w:rPr>
          <w:bdr w:val="none" w:sz="0" w:space="0" w:color="auto" w:frame="1"/>
        </w:rPr>
      </w:pPr>
      <w:r w:rsidRPr="0076263B">
        <w:rPr>
          <w:rFonts w:cstheme="minorHAnsi"/>
        </w:rPr>
        <w:t>Supports the Federal Data Strategy by helping agencies get started with prioritizing data governance and assessing maturity</w:t>
      </w:r>
    </w:p>
    <w:p w14:paraId="6E1E2C17" w14:textId="5F743AA8" w:rsidR="0076263B" w:rsidRPr="00D32C70" w:rsidRDefault="0076263B" w:rsidP="0076263B">
      <w:pPr>
        <w:pStyle w:val="ListParagraph"/>
        <w:numPr>
          <w:ilvl w:val="0"/>
          <w:numId w:val="21"/>
        </w:numPr>
        <w:rPr>
          <w:bdr w:val="none" w:sz="0" w:space="0" w:color="auto" w:frame="1"/>
        </w:rPr>
      </w:pPr>
      <w:r>
        <w:rPr>
          <w:rFonts w:cstheme="minorHAnsi"/>
        </w:rPr>
        <w:t>Includes two “plays”</w:t>
      </w:r>
      <w:r w:rsidRPr="0076263B">
        <w:rPr>
          <w:rFonts w:cstheme="minorHAnsi"/>
        </w:rPr>
        <w:t xml:space="preserve"> to help agencies improve their organizational leadership for leveraging data as an asset and respond to the requirements of the Evidence Act</w:t>
      </w:r>
      <w:r>
        <w:rPr>
          <w:rFonts w:cstheme="minorHAnsi"/>
        </w:rPr>
        <w:t>; ea</w:t>
      </w:r>
      <w:r w:rsidRPr="0076263B">
        <w:rPr>
          <w:rFonts w:cstheme="minorHAnsi"/>
        </w:rPr>
        <w:t>ch play includes activities designed to build data infrastructure through data governance bodies and maturity assessments</w:t>
      </w:r>
    </w:p>
    <w:p w14:paraId="074AE0C6" w14:textId="6712D049" w:rsidR="00D32C70" w:rsidRPr="00AD3BFF" w:rsidRDefault="00D32C70" w:rsidP="004073F7">
      <w:pPr>
        <w:spacing w:before="220"/>
        <w:rPr>
          <w:b/>
          <w:bCs/>
        </w:rPr>
      </w:pPr>
      <w:r w:rsidRPr="00D32C70">
        <w:rPr>
          <w:b/>
          <w:bCs/>
        </w:rPr>
        <w:t>How does it apply to ACL?</w:t>
      </w:r>
    </w:p>
    <w:p w14:paraId="1FD59EAD" w14:textId="4AC477FD" w:rsidR="00AD3BFF" w:rsidRDefault="00AD3BFF" w:rsidP="00AD3BFF">
      <w:pPr>
        <w:pStyle w:val="ListParagraph"/>
        <w:numPr>
          <w:ilvl w:val="0"/>
          <w:numId w:val="21"/>
        </w:numPr>
        <w:spacing w:after="120"/>
        <w:contextualSpacing w:val="0"/>
      </w:pPr>
      <w:r>
        <w:t>ACL may adopt the playbook recommendation to conduct</w:t>
      </w:r>
      <w:r w:rsidRPr="00967A8F">
        <w:t xml:space="preserve"> a data maturity </w:t>
      </w:r>
      <w:r w:rsidRPr="002102E6">
        <w:t>assessment</w:t>
      </w:r>
      <w:r>
        <w:t xml:space="preserve"> to analyze </w:t>
      </w:r>
      <w:r w:rsidRPr="00967A8F">
        <w:t>all aspects of</w:t>
      </w:r>
      <w:r>
        <w:t xml:space="preserve"> ACL’s</w:t>
      </w:r>
      <w:r w:rsidRPr="00967A8F">
        <w:t xml:space="preserve"> policies, procedures, and operations related to data and data infrastructure, including data governance, data management, data culture, data systems and tools, data analytics, staff skills and capacity, resource capacity, and compliance with law and policy</w:t>
      </w:r>
      <w:r>
        <w:t>; repeated regularly, the results will allow ACL to identify areas of improvement and to track improvements over time</w:t>
      </w:r>
    </w:p>
    <w:p w14:paraId="6B9720E3" w14:textId="0FA1579A" w:rsidR="00AD3BFF" w:rsidRPr="00AD3BFF" w:rsidRDefault="00AD3BFF" w:rsidP="00ED0A7D">
      <w:pPr>
        <w:pStyle w:val="ListParagraph"/>
        <w:numPr>
          <w:ilvl w:val="0"/>
          <w:numId w:val="21"/>
        </w:numPr>
        <w:contextualSpacing w:val="0"/>
      </w:pPr>
      <w:r>
        <w:t>ACL may adopt the playbook recommendation</w:t>
      </w:r>
      <w:r w:rsidRPr="00967A8F">
        <w:t xml:space="preserve"> to establish agency data architecture </w:t>
      </w:r>
      <w:r>
        <w:t>guidance, including a</w:t>
      </w:r>
      <w:r w:rsidRPr="002102E6">
        <w:t xml:space="preserve"> data inventory </w:t>
      </w:r>
      <w:r>
        <w:t>to help</w:t>
      </w:r>
      <w:r w:rsidRPr="002102E6">
        <w:t xml:space="preserve"> standardize data elements and systems</w:t>
      </w:r>
      <w:r>
        <w:t xml:space="preserve">; the </w:t>
      </w:r>
      <w:r w:rsidRPr="002102E6">
        <w:t xml:space="preserve">agency data architecture guidance </w:t>
      </w:r>
      <w:r>
        <w:t>may help ACL</w:t>
      </w:r>
      <w:r w:rsidRPr="002102E6">
        <w:t xml:space="preserve"> increase standardization, reduce risk management activities, and eliminate data duplication and some of the burden on operations staff and data analyst</w:t>
      </w:r>
      <w:r>
        <w:t>s</w:t>
      </w:r>
    </w:p>
    <w:p w14:paraId="347F7E3C" w14:textId="77777777" w:rsidR="00AD3BFF" w:rsidRDefault="00AD3BFF" w:rsidP="004073F7">
      <w:pPr>
        <w:pStyle w:val="ListParagraph"/>
        <w:spacing w:before="220"/>
        <w:ind w:left="0"/>
        <w:contextualSpacing w:val="0"/>
        <w:rPr>
          <w:b/>
          <w:bCs/>
        </w:rPr>
      </w:pPr>
      <w:r>
        <w:rPr>
          <w:b/>
          <w:bCs/>
        </w:rPr>
        <w:t>How does it apply to specific ACL Centers/Programs?</w:t>
      </w:r>
    </w:p>
    <w:p w14:paraId="35ABE333" w14:textId="0B3B44FA" w:rsidR="00AD3BFF" w:rsidRDefault="0001129D" w:rsidP="00A12B51">
      <w:pPr>
        <w:pStyle w:val="ListParagraph"/>
        <w:numPr>
          <w:ilvl w:val="0"/>
          <w:numId w:val="26"/>
        </w:numPr>
        <w:spacing w:after="120"/>
        <w:ind w:left="720"/>
        <w:contextualSpacing w:val="0"/>
        <w:rPr>
          <w:bdr w:val="none" w:sz="0" w:space="0" w:color="auto" w:frame="1"/>
        </w:rPr>
      </w:pPr>
      <w:r>
        <w:rPr>
          <w:bdr w:val="none" w:sz="0" w:space="0" w:color="auto" w:frame="1"/>
        </w:rPr>
        <w:t>ACL leadership can use results from a data maturity assessment to justify budget requests related to IT infrastructure</w:t>
      </w:r>
    </w:p>
    <w:p w14:paraId="18BE4C44" w14:textId="3519FD08" w:rsidR="0001129D" w:rsidRPr="00A12B51" w:rsidRDefault="0001129D" w:rsidP="00A12B51">
      <w:pPr>
        <w:pStyle w:val="ListParagraph"/>
        <w:numPr>
          <w:ilvl w:val="0"/>
          <w:numId w:val="26"/>
        </w:numPr>
        <w:spacing w:after="120"/>
        <w:ind w:left="720"/>
        <w:contextualSpacing w:val="0"/>
        <w:rPr>
          <w:bdr w:val="none" w:sz="0" w:space="0" w:color="auto" w:frame="1"/>
        </w:rPr>
      </w:pPr>
      <w:r>
        <w:rPr>
          <w:bdr w:val="none" w:sz="0" w:space="0" w:color="auto" w:frame="1"/>
        </w:rPr>
        <w:t xml:space="preserve">Materials available at </w:t>
      </w:r>
      <w:r>
        <w:t xml:space="preserve">resources.data.gov can be used by OPE and OIRM to select a data maturity assessment to implement    </w:t>
      </w:r>
    </w:p>
    <w:p w14:paraId="6D978C7D" w14:textId="40A8347C" w:rsidR="0001129D" w:rsidRPr="00A12B51" w:rsidRDefault="0001129D" w:rsidP="00A12B51">
      <w:pPr>
        <w:pStyle w:val="ListParagraph"/>
        <w:numPr>
          <w:ilvl w:val="0"/>
          <w:numId w:val="26"/>
        </w:numPr>
        <w:spacing w:after="0"/>
        <w:ind w:left="720"/>
        <w:rPr>
          <w:bdr w:val="none" w:sz="0" w:space="0" w:color="auto" w:frame="1"/>
        </w:rPr>
      </w:pPr>
      <w:r>
        <w:t>CMB can adapt policies relevant to data governance and management for ACL use</w:t>
      </w:r>
    </w:p>
    <w:p w14:paraId="52BAF108" w14:textId="026DAF87" w:rsidR="005D4579" w:rsidRPr="005D4579" w:rsidRDefault="005D4579" w:rsidP="004073F7">
      <w:pPr>
        <w:spacing w:before="440"/>
        <w:rPr>
          <w:rFonts w:cstheme="minorHAnsi"/>
          <w:b/>
        </w:rPr>
      </w:pPr>
      <w:r w:rsidRPr="005D4579">
        <w:rPr>
          <w:rFonts w:cstheme="minorHAnsi"/>
          <w:b/>
        </w:rPr>
        <w:t xml:space="preserve">Keywords: </w:t>
      </w:r>
      <w:r w:rsidRPr="005D4579">
        <w:rPr>
          <w:rFonts w:cstheme="minorHAnsi"/>
        </w:rPr>
        <w:t xml:space="preserve">Maturity assessment; </w:t>
      </w:r>
      <w:r>
        <w:rPr>
          <w:rFonts w:cstheme="minorHAnsi"/>
        </w:rPr>
        <w:t>Tools</w:t>
      </w:r>
    </w:p>
    <w:p w14:paraId="0E12951C" w14:textId="77777777" w:rsidR="00361ACA" w:rsidRDefault="00361ACA">
      <w:pPr>
        <w:rPr>
          <w:bdr w:val="none" w:sz="0" w:space="0" w:color="auto" w:frame="1"/>
        </w:rPr>
        <w:sectPr w:rsidR="00361ACA" w:rsidSect="005070DC">
          <w:pgSz w:w="12240" w:h="15840"/>
          <w:pgMar w:top="1440" w:right="1440" w:bottom="1440" w:left="1170" w:header="360" w:footer="720" w:gutter="0"/>
          <w:cols w:space="720"/>
          <w:titlePg/>
          <w:docGrid w:linePitch="360"/>
        </w:sectPr>
        <w:pPrChange w:id="34" w:author="Jenkins, Susan M. (ACL)" w:date="2020-06-04T14:36:00Z">
          <w:pPr>
            <w:ind w:left="360"/>
          </w:pPr>
        </w:pPrChange>
      </w:pPr>
    </w:p>
    <w:tbl>
      <w:tblPr>
        <w:tblStyle w:val="TableGrid"/>
        <w:tblW w:w="9895" w:type="dxa"/>
        <w:shd w:val="clear" w:color="auto" w:fill="2F5496" w:themeFill="accent1" w:themeFillShade="BF"/>
        <w:tblLook w:val="04A0" w:firstRow="1" w:lastRow="0" w:firstColumn="1" w:lastColumn="0" w:noHBand="0" w:noVBand="1"/>
        <w:tblCaption w:val="P-20W+ Data Governance "/>
        <w:tblDescription w:val="Agency: Department of Education&#10;"/>
      </w:tblPr>
      <w:tblGrid>
        <w:gridCol w:w="9895"/>
      </w:tblGrid>
      <w:tr w:rsidR="00AD3BFF" w:rsidRPr="00A63D95" w14:paraId="7CB5D06E" w14:textId="77777777" w:rsidTr="000255C3">
        <w:trPr>
          <w:trHeight w:val="980"/>
          <w:tblHeader/>
        </w:trPr>
        <w:tc>
          <w:tcPr>
            <w:tcW w:w="9895" w:type="dxa"/>
            <w:shd w:val="clear" w:color="auto" w:fill="2F5496" w:themeFill="accent1" w:themeFillShade="BF"/>
            <w:vAlign w:val="center"/>
          </w:tcPr>
          <w:p w14:paraId="1E37E1AA" w14:textId="55DF6752" w:rsidR="00AD3BFF" w:rsidRPr="00A63D95" w:rsidRDefault="00AD3BFF" w:rsidP="00AD3BFF">
            <w:pPr>
              <w:pStyle w:val="Heading3"/>
              <w:numPr>
                <w:ilvl w:val="0"/>
                <w:numId w:val="0"/>
              </w:numPr>
              <w:tabs>
                <w:tab w:val="left" w:pos="1215"/>
              </w:tabs>
              <w:ind w:left="513" w:hanging="513"/>
              <w:outlineLvl w:val="2"/>
              <w:rPr>
                <w:szCs w:val="22"/>
                <w:bdr w:val="none" w:sz="0" w:space="0" w:color="auto" w:frame="1"/>
              </w:rPr>
            </w:pPr>
            <w:bookmarkStart w:id="35" w:name="_Toc40720803"/>
            <w:bookmarkStart w:id="36" w:name="_Toc42706837"/>
            <w:r w:rsidRPr="00A63D95">
              <w:rPr>
                <w:szCs w:val="22"/>
              </w:rPr>
              <w:lastRenderedPageBreak/>
              <w:t xml:space="preserve">Title: </w:t>
            </w:r>
            <w:r w:rsidRPr="008E2A26">
              <w:t>P-20W+ Data Governance</w:t>
            </w:r>
            <w:r w:rsidRPr="00A63D95">
              <w:rPr>
                <w:szCs w:val="22"/>
                <w:vertAlign w:val="superscript"/>
              </w:rPr>
              <w:footnoteReference w:id="1"/>
            </w:r>
            <w:bookmarkEnd w:id="35"/>
            <w:bookmarkEnd w:id="36"/>
          </w:p>
          <w:p w14:paraId="60D8EAD5" w14:textId="2246FDD2" w:rsidR="00AD3BFF" w:rsidRPr="00A63D95" w:rsidRDefault="00AD3BFF" w:rsidP="00AD3BFF">
            <w:pPr>
              <w:tabs>
                <w:tab w:val="left" w:pos="1215"/>
              </w:tabs>
              <w:rPr>
                <w:b/>
                <w:color w:val="FFFFFF" w:themeColor="background1"/>
                <w:bdr w:val="none" w:sz="0" w:space="0" w:color="auto" w:frame="1"/>
              </w:rPr>
            </w:pPr>
            <w:r w:rsidRPr="00A63D95">
              <w:rPr>
                <w:b/>
                <w:color w:val="FFFFFF" w:themeColor="background1"/>
                <w:bdr w:val="none" w:sz="0" w:space="0" w:color="auto" w:frame="1"/>
              </w:rPr>
              <w:t xml:space="preserve">Agency: </w:t>
            </w:r>
            <w:r w:rsidR="00A63D95">
              <w:rPr>
                <w:b/>
                <w:color w:val="FFFFFF" w:themeColor="background1"/>
                <w:bdr w:val="none" w:sz="0" w:space="0" w:color="auto" w:frame="1"/>
              </w:rPr>
              <w:t>Department of Education</w:t>
            </w:r>
          </w:p>
        </w:tc>
      </w:tr>
    </w:tbl>
    <w:p w14:paraId="2B3F3078" w14:textId="77777777" w:rsidR="00AD3BFF" w:rsidRPr="006F5F1D" w:rsidRDefault="00AD3BFF" w:rsidP="004073F7">
      <w:pPr>
        <w:spacing w:before="220"/>
        <w:rPr>
          <w:b/>
          <w:bCs/>
        </w:rPr>
      </w:pPr>
      <w:r w:rsidRPr="006F5F1D">
        <w:rPr>
          <w:b/>
          <w:bCs/>
        </w:rPr>
        <w:t>Where can I find it?</w:t>
      </w:r>
    </w:p>
    <w:p w14:paraId="1F1870AF" w14:textId="71B95E69" w:rsidR="00AD3BFF" w:rsidRDefault="00046E40" w:rsidP="00AD3BFF">
      <w:pPr>
        <w:pStyle w:val="ListParagraph"/>
        <w:numPr>
          <w:ilvl w:val="0"/>
          <w:numId w:val="21"/>
        </w:numPr>
      </w:pPr>
      <w:hyperlink r:id="rId19" w:anchor="communities/pdc/documents/2717" w:history="1">
        <w:r w:rsidR="00AD3BFF" w:rsidRPr="00D8281F">
          <w:rPr>
            <w:rStyle w:val="Hyperlink"/>
          </w:rPr>
          <w:t>P-20W+ Data Governance</w:t>
        </w:r>
      </w:hyperlink>
    </w:p>
    <w:p w14:paraId="3C70F98B" w14:textId="77777777" w:rsidR="00AD3BFF" w:rsidRPr="006F5F1D" w:rsidRDefault="00AD3BFF" w:rsidP="004073F7">
      <w:pPr>
        <w:spacing w:before="220"/>
        <w:rPr>
          <w:b/>
          <w:bCs/>
        </w:rPr>
      </w:pPr>
      <w:r w:rsidRPr="006F5F1D">
        <w:rPr>
          <w:b/>
          <w:bCs/>
        </w:rPr>
        <w:t>What is the purpose?</w:t>
      </w:r>
    </w:p>
    <w:p w14:paraId="0C2677FA" w14:textId="5473841E" w:rsidR="00AD3BFF" w:rsidRPr="0076263B" w:rsidRDefault="00AD3BFF" w:rsidP="00AD3BFF">
      <w:pPr>
        <w:pStyle w:val="ListParagraph"/>
        <w:numPr>
          <w:ilvl w:val="0"/>
          <w:numId w:val="21"/>
        </w:numPr>
        <w:spacing w:after="0"/>
        <w:contextualSpacing w:val="0"/>
        <w:rPr>
          <w:bdr w:val="none" w:sz="0" w:space="0" w:color="auto" w:frame="1"/>
        </w:rPr>
      </w:pPr>
      <w:r>
        <w:t>O</w:t>
      </w:r>
      <w:r w:rsidRPr="00D8281F">
        <w:t>ffers best practices for establishing and maintaining a P-20W+ data governance structure</w:t>
      </w:r>
      <w:r>
        <w:t>, including</w:t>
      </w:r>
      <w:r w:rsidRPr="00D8281F">
        <w:t xml:space="preserve"> examples from states with experience setting up P-20W+ data governance</w:t>
      </w:r>
      <w:r>
        <w:t xml:space="preserve"> and specific suggestions </w:t>
      </w:r>
      <w:r w:rsidRPr="00D8281F">
        <w:t>around establishing good data governance</w:t>
      </w:r>
      <w:r w:rsidRPr="00D8281F">
        <w:rPr>
          <w:rFonts w:cstheme="minorHAnsi"/>
        </w:rPr>
        <w:t>.</w:t>
      </w:r>
    </w:p>
    <w:p w14:paraId="7ED566D2" w14:textId="77777777" w:rsidR="00AD3BFF" w:rsidRPr="00AD3BFF" w:rsidRDefault="00AD3BFF" w:rsidP="004073F7">
      <w:pPr>
        <w:spacing w:before="220"/>
        <w:rPr>
          <w:b/>
          <w:bCs/>
        </w:rPr>
      </w:pPr>
      <w:r w:rsidRPr="00D32C70">
        <w:rPr>
          <w:b/>
          <w:bCs/>
        </w:rPr>
        <w:t>How does it apply to ACL?</w:t>
      </w:r>
    </w:p>
    <w:p w14:paraId="26BACE4D" w14:textId="40AEE6BC" w:rsidR="002102E6" w:rsidRPr="00AD3BFF" w:rsidRDefault="00AD3BFF" w:rsidP="00AD3BFF">
      <w:pPr>
        <w:pStyle w:val="ListParagraph"/>
        <w:numPr>
          <w:ilvl w:val="0"/>
          <w:numId w:val="21"/>
        </w:numPr>
        <w:spacing w:after="120"/>
        <w:contextualSpacing w:val="0"/>
        <w:rPr>
          <w:bdr w:val="none" w:sz="0" w:space="0" w:color="auto" w:frame="1"/>
        </w:rPr>
      </w:pPr>
      <w:r w:rsidRPr="00AD3BFF">
        <w:rPr>
          <w:rFonts w:cstheme="minorHAnsi"/>
        </w:rPr>
        <w:t>Provides specific steps that support good data governance from a state level</w:t>
      </w:r>
      <w:r w:rsidR="00371474">
        <w:rPr>
          <w:rFonts w:cstheme="minorHAnsi"/>
        </w:rPr>
        <w:t>; m</w:t>
      </w:r>
      <w:r w:rsidRPr="00D8281F">
        <w:t>ay provide an approach for improving data governance among ACL grantees</w:t>
      </w:r>
    </w:p>
    <w:p w14:paraId="0576FD84" w14:textId="47B947E3" w:rsidR="00AD3BFF" w:rsidRPr="00AD3BFF" w:rsidRDefault="00AD3BFF" w:rsidP="00ED0A7D">
      <w:pPr>
        <w:pStyle w:val="ListParagraph"/>
        <w:numPr>
          <w:ilvl w:val="0"/>
          <w:numId w:val="21"/>
        </w:numPr>
        <w:contextualSpacing w:val="0"/>
        <w:rPr>
          <w:bdr w:val="none" w:sz="0" w:space="0" w:color="auto" w:frame="1"/>
        </w:rPr>
      </w:pPr>
      <w:r w:rsidRPr="005070DC">
        <w:t>Provides language for working with states and other grantees around data governance</w:t>
      </w:r>
    </w:p>
    <w:p w14:paraId="7DC50CCC" w14:textId="77777777" w:rsidR="00AD3BFF" w:rsidRDefault="00AD3BFF" w:rsidP="004073F7">
      <w:pPr>
        <w:pStyle w:val="ListParagraph"/>
        <w:spacing w:before="220"/>
        <w:ind w:left="0"/>
        <w:contextualSpacing w:val="0"/>
        <w:rPr>
          <w:b/>
          <w:bCs/>
        </w:rPr>
      </w:pPr>
      <w:r>
        <w:rPr>
          <w:b/>
          <w:bCs/>
        </w:rPr>
        <w:t>How does it apply to specific ACL Centers/Programs?</w:t>
      </w:r>
    </w:p>
    <w:p w14:paraId="0B88F941" w14:textId="410CFBE4" w:rsidR="00AD3BFF" w:rsidRDefault="0001129D" w:rsidP="00A12B51">
      <w:pPr>
        <w:pStyle w:val="ListParagraph"/>
        <w:numPr>
          <w:ilvl w:val="0"/>
          <w:numId w:val="26"/>
        </w:numPr>
        <w:spacing w:after="0"/>
        <w:ind w:left="720"/>
      </w:pPr>
      <w:r>
        <w:t>Program offices can share this information with grantees who are struggling with their own data governance</w:t>
      </w:r>
    </w:p>
    <w:p w14:paraId="55FA99F7" w14:textId="2AB65CA9" w:rsidR="00445279" w:rsidRPr="00445279" w:rsidRDefault="005D4579" w:rsidP="004073F7">
      <w:pPr>
        <w:spacing w:before="440"/>
        <w:rPr>
          <w:rFonts w:cstheme="minorHAnsi"/>
          <w:b/>
          <w:rPrChange w:id="37" w:author="Jenkins, Susan M. (ACL)" w:date="2020-06-04T14:37:00Z">
            <w:rPr/>
          </w:rPrChange>
        </w:rPr>
        <w:sectPr w:rsidR="00445279" w:rsidRPr="00445279" w:rsidSect="00AD3BFF">
          <w:pgSz w:w="12240" w:h="15840"/>
          <w:pgMar w:top="1440" w:right="1170" w:bottom="1440" w:left="1440" w:header="360" w:footer="720" w:gutter="0"/>
          <w:cols w:space="720"/>
          <w:titlePg/>
          <w:docGrid w:linePitch="360"/>
        </w:sectPr>
      </w:pPr>
      <w:r>
        <w:rPr>
          <w:rFonts w:cstheme="minorHAnsi"/>
          <w:b/>
        </w:rPr>
        <w:t xml:space="preserve">Keywords: </w:t>
      </w:r>
      <w:r>
        <w:rPr>
          <w:rFonts w:cstheme="minorHAnsi"/>
        </w:rPr>
        <w:t>Grants; Best practices</w:t>
      </w:r>
    </w:p>
    <w:tbl>
      <w:tblPr>
        <w:tblStyle w:val="TableGrid"/>
        <w:tblW w:w="9895" w:type="dxa"/>
        <w:shd w:val="clear" w:color="auto" w:fill="2F5496" w:themeFill="accent1" w:themeFillShade="BF"/>
        <w:tblLook w:val="04A0" w:firstRow="1" w:lastRow="0" w:firstColumn="1" w:lastColumn="0" w:noHBand="0" w:noVBand="1"/>
        <w:tblCaption w:val="Data Governance Plan: Volume 1 – Data Governance Primer (2015)"/>
        <w:tblDescription w:val="Agency: U.S. Department of Transportation, Federal Highway Administration&#10;"/>
      </w:tblPr>
      <w:tblGrid>
        <w:gridCol w:w="9895"/>
      </w:tblGrid>
      <w:tr w:rsidR="00AD3BFF" w:rsidRPr="00A63D95" w14:paraId="5F2897C8" w14:textId="77777777" w:rsidTr="000255C3">
        <w:trPr>
          <w:trHeight w:val="980"/>
          <w:tblHeader/>
        </w:trPr>
        <w:tc>
          <w:tcPr>
            <w:tcW w:w="9895" w:type="dxa"/>
            <w:shd w:val="clear" w:color="auto" w:fill="2F5496" w:themeFill="accent1" w:themeFillShade="BF"/>
            <w:vAlign w:val="center"/>
          </w:tcPr>
          <w:p w14:paraId="5F0EEF88" w14:textId="2A4A6F39" w:rsidR="00AD3BFF" w:rsidRPr="00A63D95" w:rsidRDefault="00AD3BFF" w:rsidP="00AD3BFF">
            <w:pPr>
              <w:pStyle w:val="Heading3"/>
              <w:numPr>
                <w:ilvl w:val="0"/>
                <w:numId w:val="0"/>
              </w:numPr>
              <w:tabs>
                <w:tab w:val="left" w:pos="1215"/>
              </w:tabs>
              <w:ind w:left="513" w:hanging="513"/>
              <w:outlineLvl w:val="2"/>
              <w:rPr>
                <w:szCs w:val="22"/>
                <w:bdr w:val="none" w:sz="0" w:space="0" w:color="auto" w:frame="1"/>
              </w:rPr>
            </w:pPr>
            <w:bookmarkStart w:id="38" w:name="_Toc40720804"/>
            <w:bookmarkStart w:id="39" w:name="_Toc42706838"/>
            <w:r w:rsidRPr="00A63D95">
              <w:rPr>
                <w:szCs w:val="22"/>
              </w:rPr>
              <w:lastRenderedPageBreak/>
              <w:t xml:space="preserve">Title: </w:t>
            </w:r>
            <w:r w:rsidRPr="008E2A26">
              <w:t>Data Governance Plan: Volume 1 – Data Governance Primer</w:t>
            </w:r>
            <w:r w:rsidR="00A63D95">
              <w:rPr>
                <w:szCs w:val="22"/>
              </w:rPr>
              <w:t xml:space="preserve"> (2015)</w:t>
            </w:r>
            <w:bookmarkEnd w:id="38"/>
            <w:bookmarkEnd w:id="39"/>
          </w:p>
          <w:p w14:paraId="5B080EB2" w14:textId="31B99921" w:rsidR="00AD3BFF" w:rsidRPr="00A63D95" w:rsidRDefault="00AD3BFF" w:rsidP="00AD3BFF">
            <w:pPr>
              <w:tabs>
                <w:tab w:val="left" w:pos="1215"/>
              </w:tabs>
              <w:rPr>
                <w:color w:val="FFFFFF" w:themeColor="background1"/>
                <w:bdr w:val="none" w:sz="0" w:space="0" w:color="auto" w:frame="1"/>
              </w:rPr>
            </w:pPr>
            <w:r w:rsidRPr="00A63D95">
              <w:rPr>
                <w:b/>
                <w:bCs/>
                <w:color w:val="FFFFFF" w:themeColor="background1"/>
                <w:bdr w:val="none" w:sz="0" w:space="0" w:color="auto" w:frame="1"/>
              </w:rPr>
              <w:t>Agency: U.S. Department of Transportation,</w:t>
            </w:r>
            <w:r w:rsidRPr="00A63D95">
              <w:t xml:space="preserve"> </w:t>
            </w:r>
            <w:r w:rsidRPr="00A63D95">
              <w:rPr>
                <w:b/>
                <w:bCs/>
                <w:color w:val="FFFFFF" w:themeColor="background1"/>
                <w:bdr w:val="none" w:sz="0" w:space="0" w:color="auto" w:frame="1"/>
              </w:rPr>
              <w:t>Federal Highway Administration</w:t>
            </w:r>
            <w:bookmarkStart w:id="40" w:name="_GoBack"/>
            <w:bookmarkEnd w:id="40"/>
          </w:p>
        </w:tc>
      </w:tr>
    </w:tbl>
    <w:p w14:paraId="26C85559" w14:textId="761A4EF1" w:rsidR="00AD3BFF" w:rsidRPr="00A63D95" w:rsidRDefault="00AD3BFF" w:rsidP="004073F7">
      <w:pPr>
        <w:spacing w:before="220"/>
        <w:rPr>
          <w:rStyle w:val="Hyperlink"/>
          <w:b/>
          <w:bCs/>
          <w:color w:val="auto"/>
          <w:u w:val="none"/>
        </w:rPr>
      </w:pPr>
      <w:r w:rsidRPr="006F5F1D">
        <w:rPr>
          <w:b/>
          <w:bCs/>
        </w:rPr>
        <w:t>Where can I find it?</w:t>
      </w:r>
    </w:p>
    <w:p w14:paraId="547F07E3" w14:textId="285E78BE" w:rsidR="00A63D95" w:rsidRDefault="00046E40" w:rsidP="00AD3BFF">
      <w:pPr>
        <w:pStyle w:val="ListParagraph"/>
        <w:numPr>
          <w:ilvl w:val="0"/>
          <w:numId w:val="21"/>
        </w:numPr>
      </w:pPr>
      <w:hyperlink r:id="rId20" w:history="1">
        <w:r w:rsidR="00A63D95">
          <w:rPr>
            <w:rStyle w:val="Hyperlink"/>
          </w:rPr>
          <w:t>DOT Data Governance Plan</w:t>
        </w:r>
      </w:hyperlink>
    </w:p>
    <w:p w14:paraId="18671D54" w14:textId="77777777" w:rsidR="00AD3BFF" w:rsidRPr="006F5F1D" w:rsidRDefault="00AD3BFF" w:rsidP="004073F7">
      <w:pPr>
        <w:spacing w:before="220"/>
        <w:rPr>
          <w:b/>
          <w:bCs/>
        </w:rPr>
      </w:pPr>
      <w:r w:rsidRPr="006F5F1D">
        <w:rPr>
          <w:b/>
          <w:bCs/>
        </w:rPr>
        <w:t>What is the purpose?</w:t>
      </w:r>
    </w:p>
    <w:p w14:paraId="02F34C75" w14:textId="7764AC42" w:rsidR="00371474" w:rsidRPr="00371474" w:rsidRDefault="00371474" w:rsidP="00AD3BFF">
      <w:pPr>
        <w:pStyle w:val="ListParagraph"/>
        <w:numPr>
          <w:ilvl w:val="0"/>
          <w:numId w:val="21"/>
        </w:numPr>
        <w:spacing w:after="0"/>
        <w:contextualSpacing w:val="0"/>
        <w:rPr>
          <w:bdr w:val="none" w:sz="0" w:space="0" w:color="auto" w:frame="1"/>
        </w:rPr>
      </w:pPr>
      <w:r>
        <w:t>P</w:t>
      </w:r>
      <w:r w:rsidRPr="005070DC">
        <w:t>rovide</w:t>
      </w:r>
      <w:r>
        <w:t>s</w:t>
      </w:r>
      <w:r w:rsidRPr="005070DC">
        <w:t xml:space="preserve"> a brief introduction to data governance and how it will be implemented within the Federal Highway Administration (FHWA)</w:t>
      </w:r>
    </w:p>
    <w:p w14:paraId="2D5EB7CD" w14:textId="1FB2EE0F" w:rsidR="00371474" w:rsidRPr="0076263B" w:rsidRDefault="00EF7291" w:rsidP="00AD3BFF">
      <w:pPr>
        <w:pStyle w:val="ListParagraph"/>
        <w:numPr>
          <w:ilvl w:val="0"/>
          <w:numId w:val="21"/>
        </w:numPr>
        <w:spacing w:after="0"/>
        <w:contextualSpacing w:val="0"/>
        <w:rPr>
          <w:bdr w:val="none" w:sz="0" w:space="0" w:color="auto" w:frame="1"/>
        </w:rPr>
      </w:pPr>
      <w:r>
        <w:rPr>
          <w:rFonts w:cstheme="minorHAnsi"/>
        </w:rPr>
        <w:t>P</w:t>
      </w:r>
      <w:r w:rsidRPr="005070DC">
        <w:rPr>
          <w:rFonts w:cstheme="minorHAnsi"/>
        </w:rPr>
        <w:t xml:space="preserve">rovides </w:t>
      </w:r>
      <w:r w:rsidR="00371474" w:rsidRPr="005070DC">
        <w:rPr>
          <w:rFonts w:cstheme="minorHAnsi"/>
        </w:rPr>
        <w:t xml:space="preserve">an example for how one agency (FHWA) addressed data governance. It is intended to provide a brief introduction to data governance and highlight the framework and </w:t>
      </w:r>
      <w:proofErr w:type="spellStart"/>
      <w:r w:rsidR="00371474" w:rsidRPr="005070DC">
        <w:rPr>
          <w:rFonts w:cstheme="minorHAnsi"/>
        </w:rPr>
        <w:t>workplan</w:t>
      </w:r>
      <w:proofErr w:type="spellEnd"/>
      <w:r w:rsidR="00371474" w:rsidRPr="005070DC">
        <w:rPr>
          <w:rFonts w:cstheme="minorHAnsi"/>
        </w:rPr>
        <w:t xml:space="preserve"> for FHWA’s implementation of data governance.</w:t>
      </w:r>
    </w:p>
    <w:p w14:paraId="01E4E62F" w14:textId="77777777" w:rsidR="00AD3BFF" w:rsidRPr="00AD3BFF" w:rsidRDefault="00AD3BFF" w:rsidP="004073F7">
      <w:pPr>
        <w:spacing w:before="220"/>
        <w:rPr>
          <w:b/>
          <w:bCs/>
        </w:rPr>
      </w:pPr>
      <w:r w:rsidRPr="00D32C70">
        <w:rPr>
          <w:b/>
          <w:bCs/>
        </w:rPr>
        <w:t>How does it apply to ACL?</w:t>
      </w:r>
    </w:p>
    <w:p w14:paraId="6FDABF70" w14:textId="416746F2" w:rsidR="00371474" w:rsidRDefault="00371474" w:rsidP="00371474">
      <w:pPr>
        <w:pStyle w:val="ListParagraph"/>
        <w:numPr>
          <w:ilvl w:val="0"/>
          <w:numId w:val="36"/>
        </w:numPr>
        <w:rPr>
          <w:rFonts w:cstheme="minorHAnsi"/>
        </w:rPr>
      </w:pPr>
      <w:r w:rsidRPr="00371474">
        <w:rPr>
          <w:rFonts w:cstheme="minorHAnsi"/>
        </w:rPr>
        <w:t xml:space="preserve">The six data governance goals and objectives </w:t>
      </w:r>
      <w:r>
        <w:rPr>
          <w:rFonts w:cstheme="minorHAnsi"/>
        </w:rPr>
        <w:t xml:space="preserve">may </w:t>
      </w:r>
      <w:r w:rsidRPr="00371474">
        <w:rPr>
          <w:rFonts w:cstheme="minorHAnsi"/>
        </w:rPr>
        <w:t>provide a framework</w:t>
      </w:r>
      <w:r>
        <w:rPr>
          <w:rFonts w:cstheme="minorHAnsi"/>
        </w:rPr>
        <w:t xml:space="preserve"> for ACL</w:t>
      </w:r>
      <w:r w:rsidRPr="00371474">
        <w:rPr>
          <w:rFonts w:cstheme="minorHAnsi"/>
        </w:rPr>
        <w:t xml:space="preserve"> for retrospectively looking at data governance for ACL programs.</w:t>
      </w:r>
    </w:p>
    <w:p w14:paraId="35EF188F" w14:textId="77777777" w:rsidR="00371474" w:rsidRPr="00371474" w:rsidRDefault="00371474" w:rsidP="000368F1">
      <w:pPr>
        <w:pStyle w:val="ListParagraph"/>
        <w:numPr>
          <w:ilvl w:val="0"/>
          <w:numId w:val="37"/>
        </w:numPr>
        <w:rPr>
          <w:rFonts w:cstheme="minorHAnsi"/>
        </w:rPr>
      </w:pPr>
      <w:r w:rsidRPr="00371474">
        <w:rPr>
          <w:rFonts w:cstheme="minorHAnsi"/>
        </w:rPr>
        <w:t>Leadership</w:t>
      </w:r>
    </w:p>
    <w:p w14:paraId="308DFCF1" w14:textId="77777777" w:rsidR="00371474" w:rsidRPr="00371474" w:rsidRDefault="00371474" w:rsidP="000368F1">
      <w:pPr>
        <w:pStyle w:val="ListParagraph"/>
        <w:numPr>
          <w:ilvl w:val="0"/>
          <w:numId w:val="37"/>
        </w:numPr>
        <w:rPr>
          <w:rFonts w:cstheme="minorHAnsi"/>
        </w:rPr>
      </w:pPr>
      <w:r w:rsidRPr="00371474">
        <w:rPr>
          <w:rFonts w:cstheme="minorHAnsi"/>
        </w:rPr>
        <w:t>Quality</w:t>
      </w:r>
    </w:p>
    <w:p w14:paraId="522D7EF8" w14:textId="77777777" w:rsidR="00371474" w:rsidRPr="00371474" w:rsidRDefault="00371474" w:rsidP="000368F1">
      <w:pPr>
        <w:pStyle w:val="ListParagraph"/>
        <w:numPr>
          <w:ilvl w:val="0"/>
          <w:numId w:val="37"/>
        </w:numPr>
        <w:rPr>
          <w:rFonts w:cstheme="minorHAnsi"/>
        </w:rPr>
      </w:pPr>
      <w:r w:rsidRPr="00371474">
        <w:rPr>
          <w:rFonts w:cstheme="minorHAnsi"/>
        </w:rPr>
        <w:t>Prioritization</w:t>
      </w:r>
    </w:p>
    <w:p w14:paraId="366CCCA2" w14:textId="77777777" w:rsidR="00371474" w:rsidRPr="00371474" w:rsidRDefault="00371474" w:rsidP="000368F1">
      <w:pPr>
        <w:pStyle w:val="ListParagraph"/>
        <w:numPr>
          <w:ilvl w:val="0"/>
          <w:numId w:val="37"/>
        </w:numPr>
        <w:rPr>
          <w:rFonts w:cstheme="minorHAnsi"/>
        </w:rPr>
      </w:pPr>
      <w:r w:rsidRPr="00371474">
        <w:rPr>
          <w:rFonts w:cstheme="minorHAnsi"/>
        </w:rPr>
        <w:t xml:space="preserve">Cooperating </w:t>
      </w:r>
    </w:p>
    <w:p w14:paraId="06F322D8" w14:textId="77777777" w:rsidR="00371474" w:rsidRPr="00371474" w:rsidRDefault="00371474" w:rsidP="000368F1">
      <w:pPr>
        <w:pStyle w:val="ListParagraph"/>
        <w:numPr>
          <w:ilvl w:val="0"/>
          <w:numId w:val="37"/>
        </w:numPr>
        <w:rPr>
          <w:rFonts w:cstheme="minorHAnsi"/>
        </w:rPr>
      </w:pPr>
      <w:r w:rsidRPr="00371474">
        <w:rPr>
          <w:rFonts w:cstheme="minorHAnsi"/>
        </w:rPr>
        <w:t>Flexibility</w:t>
      </w:r>
    </w:p>
    <w:p w14:paraId="5FC08BEA" w14:textId="2DDE49A3" w:rsidR="00AD3BFF" w:rsidRDefault="00371474" w:rsidP="00ED0A7D">
      <w:pPr>
        <w:pStyle w:val="ListParagraph"/>
        <w:numPr>
          <w:ilvl w:val="0"/>
          <w:numId w:val="37"/>
        </w:numPr>
        <w:contextualSpacing w:val="0"/>
        <w:rPr>
          <w:bdr w:val="none" w:sz="0" w:space="0" w:color="auto" w:frame="1"/>
        </w:rPr>
      </w:pPr>
      <w:r w:rsidRPr="00371474">
        <w:rPr>
          <w:rFonts w:cstheme="minorHAnsi"/>
        </w:rPr>
        <w:t>Utilization</w:t>
      </w:r>
      <w:r w:rsidRPr="00D8281F">
        <w:t xml:space="preserve"> </w:t>
      </w:r>
    </w:p>
    <w:p w14:paraId="78C48412" w14:textId="77777777" w:rsidR="00AD3BFF" w:rsidRDefault="00AD3BFF" w:rsidP="004073F7">
      <w:pPr>
        <w:pStyle w:val="ListParagraph"/>
        <w:spacing w:before="220"/>
        <w:ind w:left="0"/>
        <w:contextualSpacing w:val="0"/>
        <w:rPr>
          <w:b/>
          <w:bCs/>
        </w:rPr>
      </w:pPr>
      <w:r>
        <w:rPr>
          <w:b/>
          <w:bCs/>
        </w:rPr>
        <w:t>How does it apply to specific ACL Centers/Programs?</w:t>
      </w:r>
    </w:p>
    <w:p w14:paraId="260B8E3E" w14:textId="363311C4" w:rsidR="00AD3BFF" w:rsidRDefault="00371474" w:rsidP="00AD3BFF">
      <w:pPr>
        <w:pStyle w:val="ListParagraph"/>
        <w:numPr>
          <w:ilvl w:val="0"/>
          <w:numId w:val="26"/>
        </w:numPr>
        <w:ind w:left="720"/>
      </w:pPr>
      <w:r>
        <w:t>NIDILRR</w:t>
      </w:r>
      <w:r>
        <w:tab/>
      </w:r>
    </w:p>
    <w:p w14:paraId="2729605B" w14:textId="41A219EF" w:rsidR="005070DC" w:rsidRPr="00371474" w:rsidRDefault="00371474" w:rsidP="00420D2B">
      <w:pPr>
        <w:pStyle w:val="ListParagraph"/>
        <w:numPr>
          <w:ilvl w:val="1"/>
          <w:numId w:val="26"/>
        </w:numPr>
        <w:tabs>
          <w:tab w:val="left" w:pos="1980"/>
        </w:tabs>
        <w:ind w:left="1260"/>
        <w:rPr>
          <w:bdr w:val="none" w:sz="0" w:space="0" w:color="auto" w:frame="1"/>
        </w:rPr>
      </w:pPr>
      <w:r w:rsidRPr="005070DC">
        <w:t xml:space="preserve">At msktc.org, NIDILRR’s Model System </w:t>
      </w:r>
      <w:r>
        <w:t xml:space="preserve">(MS) </w:t>
      </w:r>
      <w:r w:rsidRPr="005070DC">
        <w:t xml:space="preserve">houses data sets for the TBI, SCI, and burn programs. Due to the sensitive nature of data sets, they can be requested by the public, but go through a review by project directors for relevance. </w:t>
      </w:r>
      <w:r>
        <w:t>The FHWA framework</w:t>
      </w:r>
      <w:r w:rsidRPr="005070DC">
        <w:t xml:space="preserve"> can be used to retrospectively evaluate data materials for MS data sets for leadership, quality, prioritization, cooperating, flexibility, and utilization. </w:t>
      </w:r>
    </w:p>
    <w:p w14:paraId="566C4ABD" w14:textId="5A2EA461" w:rsidR="005D4579" w:rsidRPr="005D4579" w:rsidRDefault="005D4579" w:rsidP="004073F7">
      <w:pPr>
        <w:spacing w:before="440"/>
        <w:rPr>
          <w:rFonts w:cstheme="minorHAnsi"/>
          <w:b/>
        </w:rPr>
      </w:pPr>
      <w:r w:rsidRPr="005D4579">
        <w:rPr>
          <w:rFonts w:cstheme="minorHAnsi"/>
          <w:b/>
        </w:rPr>
        <w:t xml:space="preserve">Keywords: </w:t>
      </w:r>
      <w:r>
        <w:rPr>
          <w:rFonts w:cstheme="minorHAnsi"/>
        </w:rPr>
        <w:t>Data Governance; Prioritization</w:t>
      </w:r>
      <w:r w:rsidR="009D7F54">
        <w:rPr>
          <w:rFonts w:cstheme="minorHAnsi"/>
        </w:rPr>
        <w:t>; Case study</w:t>
      </w:r>
    </w:p>
    <w:sectPr w:rsidR="005D4579" w:rsidRPr="005D4579" w:rsidSect="00AD3BFF">
      <w:pgSz w:w="12240" w:h="15840"/>
      <w:pgMar w:top="1440" w:right="117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6B23A" w14:textId="77777777" w:rsidR="00046E40" w:rsidRDefault="00046E40" w:rsidP="00F25CE7">
      <w:pPr>
        <w:spacing w:after="0" w:line="240" w:lineRule="auto"/>
      </w:pPr>
      <w:r>
        <w:separator/>
      </w:r>
    </w:p>
  </w:endnote>
  <w:endnote w:type="continuationSeparator" w:id="0">
    <w:p w14:paraId="427CE8DA" w14:textId="77777777" w:rsidR="00046E40" w:rsidRDefault="00046E40" w:rsidP="00F25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95990"/>
      <w:docPartObj>
        <w:docPartGallery w:val="Page Numbers (Bottom of Page)"/>
        <w:docPartUnique/>
      </w:docPartObj>
    </w:sdtPr>
    <w:sdtEndPr>
      <w:rPr>
        <w:noProof/>
      </w:rPr>
    </w:sdtEndPr>
    <w:sdtContent>
      <w:p w14:paraId="5E89D446" w14:textId="2C472D07" w:rsidR="00AD3BFF" w:rsidRDefault="00AD3BFF" w:rsidP="00CC1FA2">
        <w:pPr>
          <w:pStyle w:val="Footer"/>
          <w:jc w:val="center"/>
        </w:pPr>
        <w:r>
          <w:fldChar w:fldCharType="begin"/>
        </w:r>
        <w:r>
          <w:instrText xml:space="preserve"> PAGE   \* MERGEFORMAT </w:instrText>
        </w:r>
        <w:r>
          <w:fldChar w:fldCharType="separate"/>
        </w:r>
        <w:r w:rsidR="000255C3">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690663"/>
      <w:docPartObj>
        <w:docPartGallery w:val="Page Numbers (Bottom of Page)"/>
        <w:docPartUnique/>
      </w:docPartObj>
    </w:sdtPr>
    <w:sdtEndPr>
      <w:rPr>
        <w:noProof/>
      </w:rPr>
    </w:sdtEndPr>
    <w:sdtContent>
      <w:p w14:paraId="5BA6B453" w14:textId="263D9C07" w:rsidR="00AD3BFF" w:rsidRPr="00C90DCE" w:rsidRDefault="00AD3BFF" w:rsidP="000B5513">
        <w:pPr>
          <w:pStyle w:val="Footer"/>
          <w:jc w:val="center"/>
        </w:pPr>
        <w:r>
          <w:fldChar w:fldCharType="begin"/>
        </w:r>
        <w:r>
          <w:instrText xml:space="preserve"> PAGE   \* MERGEFORMAT </w:instrText>
        </w:r>
        <w:r>
          <w:fldChar w:fldCharType="separate"/>
        </w:r>
        <w:r w:rsidR="000255C3">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CEE49" w14:textId="77777777" w:rsidR="00046E40" w:rsidRDefault="00046E40" w:rsidP="00F25CE7">
      <w:pPr>
        <w:spacing w:after="0" w:line="240" w:lineRule="auto"/>
      </w:pPr>
      <w:r>
        <w:separator/>
      </w:r>
    </w:p>
  </w:footnote>
  <w:footnote w:type="continuationSeparator" w:id="0">
    <w:p w14:paraId="34F2CDA5" w14:textId="77777777" w:rsidR="00046E40" w:rsidRDefault="00046E40" w:rsidP="00F25CE7">
      <w:pPr>
        <w:spacing w:after="0" w:line="240" w:lineRule="auto"/>
      </w:pPr>
      <w:r>
        <w:continuationSeparator/>
      </w:r>
    </w:p>
  </w:footnote>
  <w:footnote w:id="1">
    <w:p w14:paraId="768B9C7D" w14:textId="77777777" w:rsidR="00AD3BFF" w:rsidRDefault="00AD3BFF" w:rsidP="00AD3BFF">
      <w:pPr>
        <w:pStyle w:val="FootnoteText"/>
      </w:pPr>
      <w:r>
        <w:rPr>
          <w:rStyle w:val="FootnoteReference"/>
        </w:rPr>
        <w:footnoteRef/>
      </w:r>
      <w:r>
        <w:t xml:space="preserve"> </w:t>
      </w:r>
      <w:r w:rsidRPr="0052667B">
        <w:t>P-20W+ refers to data from prekindergarten (early childhood), K12, and postsecondary through postgraduate education, along with workforce and other outcomes data (e.g., public assistance and corrections data).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47751" w14:textId="3052CF79" w:rsidR="00AD3BFF" w:rsidRDefault="00AD3BFF" w:rsidP="005070DC">
    <w:pPr>
      <w:pStyle w:val="Header"/>
      <w:ind w:right="-990"/>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6FA"/>
    <w:multiLevelType w:val="hybridMultilevel"/>
    <w:tmpl w:val="2F04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7381A"/>
    <w:multiLevelType w:val="hybridMultilevel"/>
    <w:tmpl w:val="402ADED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77C71"/>
    <w:multiLevelType w:val="hybridMultilevel"/>
    <w:tmpl w:val="890C1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D12C9"/>
    <w:multiLevelType w:val="hybridMultilevel"/>
    <w:tmpl w:val="937C7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7602A"/>
    <w:multiLevelType w:val="hybridMultilevel"/>
    <w:tmpl w:val="A6A8F0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342B35"/>
    <w:multiLevelType w:val="hybridMultilevel"/>
    <w:tmpl w:val="FD7C26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F430C57"/>
    <w:multiLevelType w:val="hybridMultilevel"/>
    <w:tmpl w:val="52D29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D72138"/>
    <w:multiLevelType w:val="hybridMultilevel"/>
    <w:tmpl w:val="4A8AE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B303D"/>
    <w:multiLevelType w:val="hybridMultilevel"/>
    <w:tmpl w:val="9326A2D2"/>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30479"/>
    <w:multiLevelType w:val="hybridMultilevel"/>
    <w:tmpl w:val="8410F79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0F469F"/>
    <w:multiLevelType w:val="hybridMultilevel"/>
    <w:tmpl w:val="201C19D8"/>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72BB6"/>
    <w:multiLevelType w:val="hybridMultilevel"/>
    <w:tmpl w:val="51D6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60526"/>
    <w:multiLevelType w:val="hybridMultilevel"/>
    <w:tmpl w:val="8548B98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B64029"/>
    <w:multiLevelType w:val="hybridMultilevel"/>
    <w:tmpl w:val="643E0F8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121A95"/>
    <w:multiLevelType w:val="hybridMultilevel"/>
    <w:tmpl w:val="F29C09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336047"/>
    <w:multiLevelType w:val="hybridMultilevel"/>
    <w:tmpl w:val="8B34D71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2CB502C"/>
    <w:multiLevelType w:val="hybridMultilevel"/>
    <w:tmpl w:val="04F8E100"/>
    <w:lvl w:ilvl="0" w:tplc="0409000F">
      <w:start w:val="1"/>
      <w:numFmt w:val="decimal"/>
      <w:lvlText w:val="%1."/>
      <w:lvlJc w:val="left"/>
      <w:pPr>
        <w:ind w:left="720" w:hanging="360"/>
      </w:pPr>
    </w:lvl>
    <w:lvl w:ilvl="1" w:tplc="7820C6EA">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A5579"/>
    <w:multiLevelType w:val="hybridMultilevel"/>
    <w:tmpl w:val="9AB6E7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50E0C92"/>
    <w:multiLevelType w:val="hybridMultilevel"/>
    <w:tmpl w:val="9B8028CC"/>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0765A0"/>
    <w:multiLevelType w:val="hybridMultilevel"/>
    <w:tmpl w:val="93267CEA"/>
    <w:lvl w:ilvl="0" w:tplc="0409000B">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44163BF6"/>
    <w:multiLevelType w:val="hybridMultilevel"/>
    <w:tmpl w:val="292A9F60"/>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1" w15:restartNumberingAfterBreak="0">
    <w:nsid w:val="463C3EAC"/>
    <w:multiLevelType w:val="hybridMultilevel"/>
    <w:tmpl w:val="0514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311F44"/>
    <w:multiLevelType w:val="hybridMultilevel"/>
    <w:tmpl w:val="BE042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8003A"/>
    <w:multiLevelType w:val="hybridMultilevel"/>
    <w:tmpl w:val="B16E3D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76A4B6B"/>
    <w:multiLevelType w:val="hybridMultilevel"/>
    <w:tmpl w:val="13DC339E"/>
    <w:lvl w:ilvl="0" w:tplc="0409000B">
      <w:start w:val="1"/>
      <w:numFmt w:val="bullet"/>
      <w:lvlText w:val=""/>
      <w:lvlJc w:val="left"/>
      <w:pPr>
        <w:ind w:left="765" w:hanging="360"/>
      </w:pPr>
      <w:rPr>
        <w:rFonts w:ascii="Wingdings" w:hAnsi="Wingdings" w:hint="default"/>
      </w:rPr>
    </w:lvl>
    <w:lvl w:ilvl="1" w:tplc="04090005">
      <w:start w:val="1"/>
      <w:numFmt w:val="bullet"/>
      <w:lvlText w:val=""/>
      <w:lvlJc w:val="left"/>
      <w:pPr>
        <w:ind w:left="1485" w:hanging="360"/>
      </w:pPr>
      <w:rPr>
        <w:rFonts w:ascii="Wingdings" w:hAnsi="Wingdings"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579D5AE0"/>
    <w:multiLevelType w:val="hybridMultilevel"/>
    <w:tmpl w:val="83605C56"/>
    <w:lvl w:ilvl="0" w:tplc="8D709DAE">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C5D21"/>
    <w:multiLevelType w:val="hybridMultilevel"/>
    <w:tmpl w:val="3C4C8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CE871BF"/>
    <w:multiLevelType w:val="hybridMultilevel"/>
    <w:tmpl w:val="EED4F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2B2EE9"/>
    <w:multiLevelType w:val="multilevel"/>
    <w:tmpl w:val="B7FAA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BC7BF6"/>
    <w:multiLevelType w:val="hybridMultilevel"/>
    <w:tmpl w:val="AF4A31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4C64927"/>
    <w:multiLevelType w:val="hybridMultilevel"/>
    <w:tmpl w:val="7802894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233788"/>
    <w:multiLevelType w:val="hybridMultilevel"/>
    <w:tmpl w:val="515A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076103"/>
    <w:multiLevelType w:val="hybridMultilevel"/>
    <w:tmpl w:val="06BCD8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6701C15"/>
    <w:multiLevelType w:val="hybridMultilevel"/>
    <w:tmpl w:val="AD22A5FE"/>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B2333E"/>
    <w:multiLevelType w:val="multilevel"/>
    <w:tmpl w:val="1F80BA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3051BD"/>
    <w:multiLevelType w:val="hybridMultilevel"/>
    <w:tmpl w:val="289C3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52484"/>
    <w:multiLevelType w:val="hybridMultilevel"/>
    <w:tmpl w:val="CA221670"/>
    <w:lvl w:ilvl="0" w:tplc="0409000B">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CE6474A"/>
    <w:multiLevelType w:val="hybridMultilevel"/>
    <w:tmpl w:val="F54CFA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A6262D"/>
    <w:multiLevelType w:val="hybridMultilevel"/>
    <w:tmpl w:val="FFE6CC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EC76061"/>
    <w:multiLevelType w:val="hybridMultilevel"/>
    <w:tmpl w:val="84621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0"/>
  </w:num>
  <w:num w:numId="4">
    <w:abstractNumId w:val="2"/>
  </w:num>
  <w:num w:numId="5">
    <w:abstractNumId w:val="6"/>
  </w:num>
  <w:num w:numId="6">
    <w:abstractNumId w:val="31"/>
  </w:num>
  <w:num w:numId="7">
    <w:abstractNumId w:val="30"/>
  </w:num>
  <w:num w:numId="8">
    <w:abstractNumId w:val="7"/>
  </w:num>
  <w:num w:numId="9">
    <w:abstractNumId w:val="21"/>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2"/>
  </w:num>
  <w:num w:numId="14">
    <w:abstractNumId w:val="15"/>
  </w:num>
  <w:num w:numId="15">
    <w:abstractNumId w:val="28"/>
  </w:num>
  <w:num w:numId="16">
    <w:abstractNumId w:val="38"/>
  </w:num>
  <w:num w:numId="17">
    <w:abstractNumId w:val="29"/>
  </w:num>
  <w:num w:numId="18">
    <w:abstractNumId w:val="34"/>
  </w:num>
  <w:num w:numId="19">
    <w:abstractNumId w:val="32"/>
  </w:num>
  <w:num w:numId="20">
    <w:abstractNumId w:val="17"/>
  </w:num>
  <w:num w:numId="21">
    <w:abstractNumId w:val="10"/>
  </w:num>
  <w:num w:numId="22">
    <w:abstractNumId w:val="37"/>
  </w:num>
  <w:num w:numId="23">
    <w:abstractNumId w:val="35"/>
  </w:num>
  <w:num w:numId="24">
    <w:abstractNumId w:val="3"/>
  </w:num>
  <w:num w:numId="25">
    <w:abstractNumId w:val="18"/>
  </w:num>
  <w:num w:numId="26">
    <w:abstractNumId w:val="36"/>
  </w:num>
  <w:num w:numId="27">
    <w:abstractNumId w:val="4"/>
  </w:num>
  <w:num w:numId="28">
    <w:abstractNumId w:val="19"/>
  </w:num>
  <w:num w:numId="29">
    <w:abstractNumId w:val="8"/>
  </w:num>
  <w:num w:numId="30">
    <w:abstractNumId w:val="33"/>
  </w:num>
  <w:num w:numId="31">
    <w:abstractNumId w:val="24"/>
  </w:num>
  <w:num w:numId="32">
    <w:abstractNumId w:val="22"/>
  </w:num>
  <w:num w:numId="33">
    <w:abstractNumId w:val="20"/>
  </w:num>
  <w:num w:numId="34">
    <w:abstractNumId w:val="27"/>
  </w:num>
  <w:num w:numId="35">
    <w:abstractNumId w:val="5"/>
  </w:num>
  <w:num w:numId="36">
    <w:abstractNumId w:val="39"/>
  </w:num>
  <w:num w:numId="37">
    <w:abstractNumId w:val="9"/>
  </w:num>
  <w:num w:numId="38">
    <w:abstractNumId w:val="13"/>
  </w:num>
  <w:num w:numId="39">
    <w:abstractNumId w:val="11"/>
  </w:num>
  <w:num w:numId="40">
    <w:abstractNumId w:val="1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kins, Susan M. (ACL)">
    <w15:presenceInfo w15:providerId="AD" w15:userId="S-1-5-21-1747495209-1248221918-2216747781-27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49"/>
    <w:rsid w:val="0001129D"/>
    <w:rsid w:val="000225E6"/>
    <w:rsid w:val="00024708"/>
    <w:rsid w:val="000255C3"/>
    <w:rsid w:val="00027158"/>
    <w:rsid w:val="000368F1"/>
    <w:rsid w:val="000424FB"/>
    <w:rsid w:val="00046E40"/>
    <w:rsid w:val="00060A3D"/>
    <w:rsid w:val="0006210B"/>
    <w:rsid w:val="00076CE1"/>
    <w:rsid w:val="00086530"/>
    <w:rsid w:val="000975FE"/>
    <w:rsid w:val="000A3F6E"/>
    <w:rsid w:val="000B5513"/>
    <w:rsid w:val="000B7477"/>
    <w:rsid w:val="000B76C8"/>
    <w:rsid w:val="000C37DF"/>
    <w:rsid w:val="000C3950"/>
    <w:rsid w:val="000D5870"/>
    <w:rsid w:val="000E0F95"/>
    <w:rsid w:val="000E3D92"/>
    <w:rsid w:val="000F1C7A"/>
    <w:rsid w:val="000F4A3F"/>
    <w:rsid w:val="00100244"/>
    <w:rsid w:val="00104CCF"/>
    <w:rsid w:val="00107F07"/>
    <w:rsid w:val="0012371E"/>
    <w:rsid w:val="00127B79"/>
    <w:rsid w:val="0013007B"/>
    <w:rsid w:val="001327B5"/>
    <w:rsid w:val="00142892"/>
    <w:rsid w:val="00146BCD"/>
    <w:rsid w:val="00172A5E"/>
    <w:rsid w:val="0018598B"/>
    <w:rsid w:val="00193E70"/>
    <w:rsid w:val="001A314B"/>
    <w:rsid w:val="001A3FFB"/>
    <w:rsid w:val="001B4570"/>
    <w:rsid w:val="001C4F9A"/>
    <w:rsid w:val="001D2F6C"/>
    <w:rsid w:val="001E1920"/>
    <w:rsid w:val="001E3C06"/>
    <w:rsid w:val="001F4C5F"/>
    <w:rsid w:val="00207DB2"/>
    <w:rsid w:val="002102E6"/>
    <w:rsid w:val="00220D8E"/>
    <w:rsid w:val="00230DFB"/>
    <w:rsid w:val="002310B2"/>
    <w:rsid w:val="002429CB"/>
    <w:rsid w:val="002511BC"/>
    <w:rsid w:val="00260532"/>
    <w:rsid w:val="00264664"/>
    <w:rsid w:val="00272E94"/>
    <w:rsid w:val="002777F9"/>
    <w:rsid w:val="002825AE"/>
    <w:rsid w:val="002848BB"/>
    <w:rsid w:val="0028736F"/>
    <w:rsid w:val="00287B4C"/>
    <w:rsid w:val="00293A6F"/>
    <w:rsid w:val="002961E4"/>
    <w:rsid w:val="002A64B6"/>
    <w:rsid w:val="002B2BEF"/>
    <w:rsid w:val="002B6357"/>
    <w:rsid w:val="002B66A7"/>
    <w:rsid w:val="002C7598"/>
    <w:rsid w:val="002D002D"/>
    <w:rsid w:val="002E5323"/>
    <w:rsid w:val="002F37AE"/>
    <w:rsid w:val="00311016"/>
    <w:rsid w:val="00311D53"/>
    <w:rsid w:val="0031759A"/>
    <w:rsid w:val="00323628"/>
    <w:rsid w:val="00323FCF"/>
    <w:rsid w:val="00332AB1"/>
    <w:rsid w:val="0034083D"/>
    <w:rsid w:val="003556BD"/>
    <w:rsid w:val="003617AC"/>
    <w:rsid w:val="00361ACA"/>
    <w:rsid w:val="00364534"/>
    <w:rsid w:val="00367999"/>
    <w:rsid w:val="00371474"/>
    <w:rsid w:val="003A0CFD"/>
    <w:rsid w:val="003A0E88"/>
    <w:rsid w:val="003A4CBF"/>
    <w:rsid w:val="003B1589"/>
    <w:rsid w:val="003C37EB"/>
    <w:rsid w:val="003C6D52"/>
    <w:rsid w:val="003D19C0"/>
    <w:rsid w:val="003D47E9"/>
    <w:rsid w:val="003E0EE1"/>
    <w:rsid w:val="003E2B1C"/>
    <w:rsid w:val="003E520F"/>
    <w:rsid w:val="003E592C"/>
    <w:rsid w:val="003F6FEE"/>
    <w:rsid w:val="00403224"/>
    <w:rsid w:val="004073F7"/>
    <w:rsid w:val="00412B1E"/>
    <w:rsid w:val="00413E86"/>
    <w:rsid w:val="00417751"/>
    <w:rsid w:val="00423FF6"/>
    <w:rsid w:val="00433FF4"/>
    <w:rsid w:val="004418BB"/>
    <w:rsid w:val="004425A3"/>
    <w:rsid w:val="00445279"/>
    <w:rsid w:val="00453B8D"/>
    <w:rsid w:val="0047775C"/>
    <w:rsid w:val="0048429A"/>
    <w:rsid w:val="00485ADE"/>
    <w:rsid w:val="00495E1A"/>
    <w:rsid w:val="004A0417"/>
    <w:rsid w:val="004A1928"/>
    <w:rsid w:val="004A2068"/>
    <w:rsid w:val="004B1376"/>
    <w:rsid w:val="004B74BF"/>
    <w:rsid w:val="004C7905"/>
    <w:rsid w:val="004D5B80"/>
    <w:rsid w:val="004D6533"/>
    <w:rsid w:val="004E3F1E"/>
    <w:rsid w:val="005060B4"/>
    <w:rsid w:val="005070DC"/>
    <w:rsid w:val="00520105"/>
    <w:rsid w:val="00520406"/>
    <w:rsid w:val="0052667B"/>
    <w:rsid w:val="0052760A"/>
    <w:rsid w:val="00530BE5"/>
    <w:rsid w:val="00536103"/>
    <w:rsid w:val="005367DB"/>
    <w:rsid w:val="00536853"/>
    <w:rsid w:val="005451BF"/>
    <w:rsid w:val="00551408"/>
    <w:rsid w:val="0056233C"/>
    <w:rsid w:val="0057298D"/>
    <w:rsid w:val="00574FBB"/>
    <w:rsid w:val="0058371E"/>
    <w:rsid w:val="00585B02"/>
    <w:rsid w:val="00594265"/>
    <w:rsid w:val="005976F0"/>
    <w:rsid w:val="005A2061"/>
    <w:rsid w:val="005C5F75"/>
    <w:rsid w:val="005D2D57"/>
    <w:rsid w:val="005D2DE1"/>
    <w:rsid w:val="005D4579"/>
    <w:rsid w:val="005D5749"/>
    <w:rsid w:val="005E2770"/>
    <w:rsid w:val="005E2EEC"/>
    <w:rsid w:val="005E6F11"/>
    <w:rsid w:val="005F0C7F"/>
    <w:rsid w:val="005F62ED"/>
    <w:rsid w:val="005F6564"/>
    <w:rsid w:val="0061059D"/>
    <w:rsid w:val="006210CA"/>
    <w:rsid w:val="0063441E"/>
    <w:rsid w:val="00637360"/>
    <w:rsid w:val="0065322E"/>
    <w:rsid w:val="00655F02"/>
    <w:rsid w:val="00687F50"/>
    <w:rsid w:val="006A3AD1"/>
    <w:rsid w:val="006A6825"/>
    <w:rsid w:val="006B172E"/>
    <w:rsid w:val="006B237D"/>
    <w:rsid w:val="006B6EA8"/>
    <w:rsid w:val="006C037C"/>
    <w:rsid w:val="006C2859"/>
    <w:rsid w:val="006D5CDB"/>
    <w:rsid w:val="006E3AFC"/>
    <w:rsid w:val="006F3BDF"/>
    <w:rsid w:val="006F5F1D"/>
    <w:rsid w:val="006F737F"/>
    <w:rsid w:val="00700D9E"/>
    <w:rsid w:val="00711387"/>
    <w:rsid w:val="00726887"/>
    <w:rsid w:val="00733282"/>
    <w:rsid w:val="00746060"/>
    <w:rsid w:val="00750162"/>
    <w:rsid w:val="007613F2"/>
    <w:rsid w:val="0076263B"/>
    <w:rsid w:val="0077460F"/>
    <w:rsid w:val="00785A79"/>
    <w:rsid w:val="00787033"/>
    <w:rsid w:val="007946C3"/>
    <w:rsid w:val="00795A66"/>
    <w:rsid w:val="007B5306"/>
    <w:rsid w:val="00800E12"/>
    <w:rsid w:val="00822F01"/>
    <w:rsid w:val="00826868"/>
    <w:rsid w:val="0082736E"/>
    <w:rsid w:val="0082737B"/>
    <w:rsid w:val="0085412F"/>
    <w:rsid w:val="00857C32"/>
    <w:rsid w:val="00863596"/>
    <w:rsid w:val="00872075"/>
    <w:rsid w:val="00874807"/>
    <w:rsid w:val="00881729"/>
    <w:rsid w:val="008876ED"/>
    <w:rsid w:val="008A1E10"/>
    <w:rsid w:val="008B3149"/>
    <w:rsid w:val="008B6A0F"/>
    <w:rsid w:val="008C0352"/>
    <w:rsid w:val="008C3101"/>
    <w:rsid w:val="008C39E5"/>
    <w:rsid w:val="008D4305"/>
    <w:rsid w:val="008E2A26"/>
    <w:rsid w:val="008E667C"/>
    <w:rsid w:val="008F120A"/>
    <w:rsid w:val="008F24C8"/>
    <w:rsid w:val="009049CD"/>
    <w:rsid w:val="00936107"/>
    <w:rsid w:val="00936A50"/>
    <w:rsid w:val="00937718"/>
    <w:rsid w:val="00967A8F"/>
    <w:rsid w:val="00971080"/>
    <w:rsid w:val="00972C10"/>
    <w:rsid w:val="009A2D56"/>
    <w:rsid w:val="009A55B7"/>
    <w:rsid w:val="009B2D8E"/>
    <w:rsid w:val="009C7DA2"/>
    <w:rsid w:val="009D7F54"/>
    <w:rsid w:val="009E0C65"/>
    <w:rsid w:val="009E15A4"/>
    <w:rsid w:val="009F1649"/>
    <w:rsid w:val="009F4503"/>
    <w:rsid w:val="00A006A9"/>
    <w:rsid w:val="00A009D0"/>
    <w:rsid w:val="00A03762"/>
    <w:rsid w:val="00A07086"/>
    <w:rsid w:val="00A07636"/>
    <w:rsid w:val="00A10BDD"/>
    <w:rsid w:val="00A12B51"/>
    <w:rsid w:val="00A2679B"/>
    <w:rsid w:val="00A33CEB"/>
    <w:rsid w:val="00A36406"/>
    <w:rsid w:val="00A413F4"/>
    <w:rsid w:val="00A572F0"/>
    <w:rsid w:val="00A63D95"/>
    <w:rsid w:val="00A732F7"/>
    <w:rsid w:val="00A918C9"/>
    <w:rsid w:val="00A978DD"/>
    <w:rsid w:val="00AA55FA"/>
    <w:rsid w:val="00AC26C5"/>
    <w:rsid w:val="00AC5BA4"/>
    <w:rsid w:val="00AD3BFF"/>
    <w:rsid w:val="00AD7E47"/>
    <w:rsid w:val="00AE2860"/>
    <w:rsid w:val="00AE4C26"/>
    <w:rsid w:val="00AE6115"/>
    <w:rsid w:val="00AF00F8"/>
    <w:rsid w:val="00B3108D"/>
    <w:rsid w:val="00B33474"/>
    <w:rsid w:val="00B34433"/>
    <w:rsid w:val="00B34692"/>
    <w:rsid w:val="00B35503"/>
    <w:rsid w:val="00B41C0B"/>
    <w:rsid w:val="00B5155B"/>
    <w:rsid w:val="00B64B51"/>
    <w:rsid w:val="00B70515"/>
    <w:rsid w:val="00B73DC9"/>
    <w:rsid w:val="00B77374"/>
    <w:rsid w:val="00B91EFA"/>
    <w:rsid w:val="00B94158"/>
    <w:rsid w:val="00BA5790"/>
    <w:rsid w:val="00BB14F4"/>
    <w:rsid w:val="00BB7FFB"/>
    <w:rsid w:val="00BC06FA"/>
    <w:rsid w:val="00C12024"/>
    <w:rsid w:val="00C14D7C"/>
    <w:rsid w:val="00C257F5"/>
    <w:rsid w:val="00C40730"/>
    <w:rsid w:val="00C52F27"/>
    <w:rsid w:val="00C62825"/>
    <w:rsid w:val="00C81126"/>
    <w:rsid w:val="00C83CAA"/>
    <w:rsid w:val="00C90DCE"/>
    <w:rsid w:val="00CA00F6"/>
    <w:rsid w:val="00CA0210"/>
    <w:rsid w:val="00CA532B"/>
    <w:rsid w:val="00CA71F7"/>
    <w:rsid w:val="00CB1B39"/>
    <w:rsid w:val="00CB451E"/>
    <w:rsid w:val="00CB7152"/>
    <w:rsid w:val="00CC1FA2"/>
    <w:rsid w:val="00CC3EE0"/>
    <w:rsid w:val="00CE1317"/>
    <w:rsid w:val="00CF1171"/>
    <w:rsid w:val="00D06D7F"/>
    <w:rsid w:val="00D21D3F"/>
    <w:rsid w:val="00D30E64"/>
    <w:rsid w:val="00D32C70"/>
    <w:rsid w:val="00D34ECE"/>
    <w:rsid w:val="00D37C6F"/>
    <w:rsid w:val="00D6360E"/>
    <w:rsid w:val="00D636FC"/>
    <w:rsid w:val="00D7688A"/>
    <w:rsid w:val="00D77368"/>
    <w:rsid w:val="00D77497"/>
    <w:rsid w:val="00D8281F"/>
    <w:rsid w:val="00D85EDC"/>
    <w:rsid w:val="00D90889"/>
    <w:rsid w:val="00D96D20"/>
    <w:rsid w:val="00DA1180"/>
    <w:rsid w:val="00DA4FC7"/>
    <w:rsid w:val="00DC6B5B"/>
    <w:rsid w:val="00DD5875"/>
    <w:rsid w:val="00DE3E87"/>
    <w:rsid w:val="00DF6D26"/>
    <w:rsid w:val="00E15341"/>
    <w:rsid w:val="00E16393"/>
    <w:rsid w:val="00E24978"/>
    <w:rsid w:val="00E3383B"/>
    <w:rsid w:val="00E400BE"/>
    <w:rsid w:val="00E6064D"/>
    <w:rsid w:val="00E60BE8"/>
    <w:rsid w:val="00E659ED"/>
    <w:rsid w:val="00E71A7F"/>
    <w:rsid w:val="00E766BC"/>
    <w:rsid w:val="00E819DA"/>
    <w:rsid w:val="00E819FB"/>
    <w:rsid w:val="00E828D7"/>
    <w:rsid w:val="00E84A18"/>
    <w:rsid w:val="00E8625B"/>
    <w:rsid w:val="00E9094C"/>
    <w:rsid w:val="00EA59AF"/>
    <w:rsid w:val="00EB3066"/>
    <w:rsid w:val="00EC757F"/>
    <w:rsid w:val="00ED09D0"/>
    <w:rsid w:val="00ED0A7D"/>
    <w:rsid w:val="00EE50E0"/>
    <w:rsid w:val="00EE6674"/>
    <w:rsid w:val="00EF7291"/>
    <w:rsid w:val="00F00498"/>
    <w:rsid w:val="00F03057"/>
    <w:rsid w:val="00F07CBC"/>
    <w:rsid w:val="00F25CE7"/>
    <w:rsid w:val="00F509B4"/>
    <w:rsid w:val="00F54B8E"/>
    <w:rsid w:val="00F55CC0"/>
    <w:rsid w:val="00F67B79"/>
    <w:rsid w:val="00F707B2"/>
    <w:rsid w:val="00F84333"/>
    <w:rsid w:val="00F86D70"/>
    <w:rsid w:val="00F95C0A"/>
    <w:rsid w:val="00FA4BF9"/>
    <w:rsid w:val="00FB416D"/>
    <w:rsid w:val="00FB564A"/>
    <w:rsid w:val="00FC77E6"/>
    <w:rsid w:val="00FD13A7"/>
    <w:rsid w:val="00FE2D41"/>
    <w:rsid w:val="00FE6696"/>
    <w:rsid w:val="00FF1BEF"/>
    <w:rsid w:val="00FF23E8"/>
    <w:rsid w:val="00FF48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E5D3E"/>
  <w15:chartTrackingRefBased/>
  <w15:docId w15:val="{AB67E114-D8BB-48C8-AE35-B0CE7B1C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68"/>
  </w:style>
  <w:style w:type="paragraph" w:styleId="Heading1">
    <w:name w:val="heading 1"/>
    <w:basedOn w:val="Normal"/>
    <w:next w:val="Normal"/>
    <w:link w:val="Heading1Char"/>
    <w:uiPriority w:val="9"/>
    <w:qFormat/>
    <w:rsid w:val="00655F02"/>
    <w:pPr>
      <w:keepNext/>
      <w:keepLines/>
      <w:spacing w:after="120"/>
      <w:outlineLvl w:val="0"/>
    </w:pPr>
    <w:rPr>
      <w:rFonts w:eastAsiaTheme="majorEastAsia" w:cstheme="majorBidi"/>
      <w:b/>
      <w:color w:val="C00000"/>
      <w:sz w:val="28"/>
      <w:szCs w:val="32"/>
    </w:rPr>
  </w:style>
  <w:style w:type="paragraph" w:styleId="Heading2">
    <w:name w:val="heading 2"/>
    <w:basedOn w:val="Heading1"/>
    <w:next w:val="Normal"/>
    <w:link w:val="Heading2Char"/>
    <w:uiPriority w:val="9"/>
    <w:unhideWhenUsed/>
    <w:qFormat/>
    <w:rsid w:val="003C6D52"/>
    <w:pPr>
      <w:outlineLvl w:val="1"/>
    </w:pPr>
    <w:rPr>
      <w:szCs w:val="28"/>
    </w:rPr>
  </w:style>
  <w:style w:type="paragraph" w:styleId="Heading3">
    <w:name w:val="heading 3"/>
    <w:basedOn w:val="Heading2"/>
    <w:next w:val="Normal"/>
    <w:link w:val="Heading3Char"/>
    <w:uiPriority w:val="9"/>
    <w:unhideWhenUsed/>
    <w:qFormat/>
    <w:rsid w:val="008E2A26"/>
    <w:pPr>
      <w:numPr>
        <w:numId w:val="1"/>
      </w:numPr>
      <w:outlineLvl w:val="2"/>
    </w:pPr>
    <w:rPr>
      <w:color w:val="FFFFFF" w:themeColor="background1"/>
      <w:sz w:val="22"/>
    </w:rPr>
  </w:style>
  <w:style w:type="paragraph" w:styleId="Heading4">
    <w:name w:val="heading 4"/>
    <w:basedOn w:val="Normal"/>
    <w:next w:val="Normal"/>
    <w:link w:val="Heading4Char"/>
    <w:autoRedefine/>
    <w:uiPriority w:val="9"/>
    <w:unhideWhenUsed/>
    <w:qFormat/>
    <w:rsid w:val="00746060"/>
    <w:pPr>
      <w:keepNext/>
      <w:keepLines/>
      <w:spacing w:before="240" w:after="12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049C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51">
    <w:name w:val="Grid Table 1 Light - Accent 51"/>
    <w:basedOn w:val="TableNormal"/>
    <w:next w:val="GridTable1Light-Accent5"/>
    <w:uiPriority w:val="46"/>
    <w:rsid w:val="009F1649"/>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EDFDF"/>
        <w:left w:val="single" w:sz="4" w:space="0" w:color="DEDFDF"/>
        <w:bottom w:val="single" w:sz="4" w:space="0" w:color="DEDFDF"/>
        <w:right w:val="single" w:sz="4" w:space="0" w:color="DEDFDF"/>
        <w:insideH w:val="single" w:sz="4" w:space="0" w:color="DEDFDF"/>
        <w:insideV w:val="single" w:sz="4" w:space="0" w:color="DEDFDF"/>
      </w:tblBorders>
    </w:tblPr>
    <w:tblStylePr w:type="firstRow">
      <w:rPr>
        <w:b/>
        <w:bCs/>
      </w:rPr>
      <w:tblPr/>
      <w:tcPr>
        <w:tcBorders>
          <w:bottom w:val="single" w:sz="12" w:space="0" w:color="CDCFCF"/>
        </w:tcBorders>
      </w:tcPr>
    </w:tblStylePr>
    <w:tblStylePr w:type="lastRow">
      <w:rPr>
        <w:b/>
        <w:bCs/>
      </w:rPr>
      <w:tblPr/>
      <w:tcPr>
        <w:tcBorders>
          <w:top w:val="double" w:sz="2" w:space="0" w:color="CDCFCF"/>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F164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F1649"/>
    <w:pPr>
      <w:ind w:left="720"/>
      <w:contextualSpacing/>
    </w:pPr>
  </w:style>
  <w:style w:type="paragraph" w:styleId="BalloonText">
    <w:name w:val="Balloon Text"/>
    <w:basedOn w:val="Normal"/>
    <w:link w:val="BalloonTextChar"/>
    <w:uiPriority w:val="99"/>
    <w:semiHidden/>
    <w:unhideWhenUsed/>
    <w:rsid w:val="009F16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649"/>
    <w:rPr>
      <w:rFonts w:ascii="Segoe UI" w:hAnsi="Segoe UI" w:cs="Segoe UI"/>
      <w:sz w:val="18"/>
      <w:szCs w:val="18"/>
    </w:rPr>
  </w:style>
  <w:style w:type="character" w:styleId="CommentReference">
    <w:name w:val="annotation reference"/>
    <w:basedOn w:val="DefaultParagraphFont"/>
    <w:uiPriority w:val="99"/>
    <w:semiHidden/>
    <w:unhideWhenUsed/>
    <w:rsid w:val="00D30E64"/>
    <w:rPr>
      <w:sz w:val="16"/>
      <w:szCs w:val="16"/>
    </w:rPr>
  </w:style>
  <w:style w:type="paragraph" w:styleId="CommentText">
    <w:name w:val="annotation text"/>
    <w:basedOn w:val="Normal"/>
    <w:link w:val="CommentTextChar"/>
    <w:uiPriority w:val="99"/>
    <w:semiHidden/>
    <w:unhideWhenUsed/>
    <w:rsid w:val="00D30E64"/>
    <w:pPr>
      <w:spacing w:line="240" w:lineRule="auto"/>
    </w:pPr>
    <w:rPr>
      <w:sz w:val="20"/>
      <w:szCs w:val="20"/>
    </w:rPr>
  </w:style>
  <w:style w:type="character" w:customStyle="1" w:styleId="CommentTextChar">
    <w:name w:val="Comment Text Char"/>
    <w:basedOn w:val="DefaultParagraphFont"/>
    <w:link w:val="CommentText"/>
    <w:uiPriority w:val="99"/>
    <w:semiHidden/>
    <w:rsid w:val="00D30E64"/>
    <w:rPr>
      <w:sz w:val="20"/>
      <w:szCs w:val="20"/>
    </w:rPr>
  </w:style>
  <w:style w:type="paragraph" w:styleId="CommentSubject">
    <w:name w:val="annotation subject"/>
    <w:basedOn w:val="CommentText"/>
    <w:next w:val="CommentText"/>
    <w:link w:val="CommentSubjectChar"/>
    <w:uiPriority w:val="99"/>
    <w:semiHidden/>
    <w:unhideWhenUsed/>
    <w:rsid w:val="00D30E64"/>
    <w:rPr>
      <w:b/>
      <w:bCs/>
    </w:rPr>
  </w:style>
  <w:style w:type="character" w:customStyle="1" w:styleId="CommentSubjectChar">
    <w:name w:val="Comment Subject Char"/>
    <w:basedOn w:val="CommentTextChar"/>
    <w:link w:val="CommentSubject"/>
    <w:uiPriority w:val="99"/>
    <w:semiHidden/>
    <w:rsid w:val="00D30E64"/>
    <w:rPr>
      <w:b/>
      <w:bCs/>
      <w:sz w:val="20"/>
      <w:szCs w:val="20"/>
    </w:rPr>
  </w:style>
  <w:style w:type="character" w:customStyle="1" w:styleId="Heading1Char">
    <w:name w:val="Heading 1 Char"/>
    <w:basedOn w:val="DefaultParagraphFont"/>
    <w:link w:val="Heading1"/>
    <w:uiPriority w:val="9"/>
    <w:rsid w:val="00655F02"/>
    <w:rPr>
      <w:rFonts w:eastAsiaTheme="majorEastAsia" w:cstheme="majorBidi"/>
      <w:b/>
      <w:color w:val="C00000"/>
      <w:sz w:val="28"/>
      <w:szCs w:val="32"/>
    </w:rPr>
  </w:style>
  <w:style w:type="character" w:customStyle="1" w:styleId="Heading2Char">
    <w:name w:val="Heading 2 Char"/>
    <w:basedOn w:val="DefaultParagraphFont"/>
    <w:link w:val="Heading2"/>
    <w:uiPriority w:val="9"/>
    <w:rsid w:val="003C6D52"/>
    <w:rPr>
      <w:rFonts w:eastAsiaTheme="majorEastAsia" w:cstheme="majorBidi"/>
      <w:b/>
      <w:color w:val="C00000"/>
      <w:sz w:val="28"/>
      <w:szCs w:val="28"/>
    </w:rPr>
  </w:style>
  <w:style w:type="character" w:customStyle="1" w:styleId="Heading3Char">
    <w:name w:val="Heading 3 Char"/>
    <w:basedOn w:val="DefaultParagraphFont"/>
    <w:link w:val="Heading3"/>
    <w:uiPriority w:val="9"/>
    <w:rsid w:val="008E2A26"/>
    <w:rPr>
      <w:rFonts w:eastAsiaTheme="majorEastAsia" w:cstheme="majorBidi"/>
      <w:b/>
      <w:color w:val="FFFFFF" w:themeColor="background1"/>
      <w:szCs w:val="28"/>
    </w:rPr>
  </w:style>
  <w:style w:type="paragraph" w:styleId="Header">
    <w:name w:val="header"/>
    <w:basedOn w:val="Normal"/>
    <w:link w:val="HeaderChar"/>
    <w:uiPriority w:val="99"/>
    <w:unhideWhenUsed/>
    <w:rsid w:val="00F25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CE7"/>
  </w:style>
  <w:style w:type="paragraph" w:styleId="Footer">
    <w:name w:val="footer"/>
    <w:basedOn w:val="Normal"/>
    <w:link w:val="FooterChar"/>
    <w:uiPriority w:val="99"/>
    <w:unhideWhenUsed/>
    <w:rsid w:val="00F25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CE7"/>
  </w:style>
  <w:style w:type="character" w:customStyle="1" w:styleId="Heading4Char">
    <w:name w:val="Heading 4 Char"/>
    <w:basedOn w:val="DefaultParagraphFont"/>
    <w:link w:val="Heading4"/>
    <w:uiPriority w:val="9"/>
    <w:rsid w:val="0074606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9049CD"/>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086530"/>
    <w:pPr>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086530"/>
    <w:pPr>
      <w:spacing w:after="100"/>
    </w:pPr>
  </w:style>
  <w:style w:type="paragraph" w:styleId="TOC2">
    <w:name w:val="toc 2"/>
    <w:basedOn w:val="Normal"/>
    <w:next w:val="Normal"/>
    <w:autoRedefine/>
    <w:uiPriority w:val="39"/>
    <w:unhideWhenUsed/>
    <w:rsid w:val="000B5513"/>
    <w:pPr>
      <w:tabs>
        <w:tab w:val="right" w:leader="dot" w:pos="9620"/>
      </w:tabs>
      <w:spacing w:after="100"/>
    </w:pPr>
  </w:style>
  <w:style w:type="paragraph" w:styleId="TOC3">
    <w:name w:val="toc 3"/>
    <w:basedOn w:val="Normal"/>
    <w:next w:val="Normal"/>
    <w:autoRedefine/>
    <w:uiPriority w:val="39"/>
    <w:unhideWhenUsed/>
    <w:rsid w:val="00086530"/>
    <w:pPr>
      <w:spacing w:after="100"/>
      <w:ind w:left="440"/>
    </w:pPr>
  </w:style>
  <w:style w:type="character" w:styleId="Hyperlink">
    <w:name w:val="Hyperlink"/>
    <w:basedOn w:val="DefaultParagraphFont"/>
    <w:uiPriority w:val="99"/>
    <w:unhideWhenUsed/>
    <w:rsid w:val="00086530"/>
    <w:rPr>
      <w:color w:val="0563C1" w:themeColor="hyperlink"/>
      <w:u w:val="single"/>
    </w:rPr>
  </w:style>
  <w:style w:type="character" w:customStyle="1" w:styleId="UnresolvedMention1">
    <w:name w:val="Unresolved Mention1"/>
    <w:basedOn w:val="DefaultParagraphFont"/>
    <w:uiPriority w:val="99"/>
    <w:semiHidden/>
    <w:unhideWhenUsed/>
    <w:rsid w:val="004B74BF"/>
    <w:rPr>
      <w:color w:val="605E5C"/>
      <w:shd w:val="clear" w:color="auto" w:fill="E1DFDD"/>
    </w:rPr>
  </w:style>
  <w:style w:type="character" w:styleId="FollowedHyperlink">
    <w:name w:val="FollowedHyperlink"/>
    <w:basedOn w:val="DefaultParagraphFont"/>
    <w:uiPriority w:val="99"/>
    <w:semiHidden/>
    <w:unhideWhenUsed/>
    <w:rsid w:val="00FE2D41"/>
    <w:rPr>
      <w:color w:val="954F72" w:themeColor="followedHyperlink"/>
      <w:u w:val="single"/>
    </w:rPr>
  </w:style>
  <w:style w:type="paragraph" w:styleId="Title">
    <w:name w:val="Title"/>
    <w:basedOn w:val="Normal"/>
    <w:next w:val="Normal"/>
    <w:link w:val="TitleChar"/>
    <w:uiPriority w:val="10"/>
    <w:qFormat/>
    <w:rsid w:val="005201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1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10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20105"/>
    <w:rPr>
      <w:rFonts w:eastAsiaTheme="minorEastAsia"/>
      <w:color w:val="5A5A5A" w:themeColor="text1" w:themeTint="A5"/>
      <w:spacing w:val="15"/>
    </w:rPr>
  </w:style>
  <w:style w:type="character" w:styleId="Strong">
    <w:name w:val="Strong"/>
    <w:basedOn w:val="DefaultParagraphFont"/>
    <w:uiPriority w:val="22"/>
    <w:qFormat/>
    <w:rsid w:val="00B94158"/>
    <w:rPr>
      <w:b/>
      <w:bCs/>
    </w:rPr>
  </w:style>
  <w:style w:type="paragraph" w:styleId="NormalWeb">
    <w:name w:val="Normal (Web)"/>
    <w:basedOn w:val="Normal"/>
    <w:uiPriority w:val="99"/>
    <w:unhideWhenUsed/>
    <w:rsid w:val="006A682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B7FFB"/>
    <w:pPr>
      <w:spacing w:after="0" w:line="240" w:lineRule="auto"/>
    </w:pPr>
    <w:rPr>
      <w:sz w:val="20"/>
      <w:szCs w:val="20"/>
    </w:rPr>
  </w:style>
  <w:style w:type="character" w:customStyle="1" w:styleId="FootnoteTextChar">
    <w:name w:val="Footnote Text Char"/>
    <w:basedOn w:val="DefaultParagraphFont"/>
    <w:link w:val="FootnoteText"/>
    <w:uiPriority w:val="99"/>
    <w:rsid w:val="00BB7FFB"/>
    <w:rPr>
      <w:sz w:val="20"/>
      <w:szCs w:val="20"/>
    </w:rPr>
  </w:style>
  <w:style w:type="character" w:styleId="FootnoteReference">
    <w:name w:val="footnote reference"/>
    <w:basedOn w:val="DefaultParagraphFont"/>
    <w:uiPriority w:val="99"/>
    <w:semiHidden/>
    <w:unhideWhenUsed/>
    <w:rsid w:val="00BB7FFB"/>
    <w:rPr>
      <w:vertAlign w:val="superscript"/>
    </w:rPr>
  </w:style>
  <w:style w:type="paragraph" w:styleId="Revision">
    <w:name w:val="Revision"/>
    <w:hidden/>
    <w:uiPriority w:val="99"/>
    <w:semiHidden/>
    <w:rsid w:val="00687F50"/>
    <w:pPr>
      <w:spacing w:after="0" w:line="240" w:lineRule="auto"/>
    </w:pPr>
  </w:style>
  <w:style w:type="table" w:styleId="TableGrid">
    <w:name w:val="Table Grid"/>
    <w:basedOn w:val="TableNormal"/>
    <w:uiPriority w:val="39"/>
    <w:rsid w:val="000B7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invisible">
    <w:name w:val="element-invisible"/>
    <w:basedOn w:val="DefaultParagraphFont"/>
    <w:rsid w:val="001A314B"/>
  </w:style>
  <w:style w:type="character" w:styleId="Emphasis">
    <w:name w:val="Emphasis"/>
    <w:basedOn w:val="DefaultParagraphFont"/>
    <w:uiPriority w:val="20"/>
    <w:qFormat/>
    <w:rsid w:val="001A314B"/>
    <w:rPr>
      <w:i/>
      <w:iCs/>
    </w:rPr>
  </w:style>
  <w:style w:type="paragraph" w:styleId="HTMLPreformatted">
    <w:name w:val="HTML Preformatted"/>
    <w:basedOn w:val="Normal"/>
    <w:link w:val="HTMLPreformattedChar"/>
    <w:uiPriority w:val="99"/>
    <w:unhideWhenUsed/>
    <w:rsid w:val="002C7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C7598"/>
    <w:rPr>
      <w:rFonts w:ascii="Courier New" w:eastAsia="Times New Roman" w:hAnsi="Courier New" w:cs="Courier New"/>
      <w:sz w:val="20"/>
      <w:szCs w:val="20"/>
    </w:rPr>
  </w:style>
  <w:style w:type="character" w:customStyle="1" w:styleId="UnresolvedMention2">
    <w:name w:val="Unresolved Mention2"/>
    <w:basedOn w:val="DefaultParagraphFont"/>
    <w:uiPriority w:val="99"/>
    <w:semiHidden/>
    <w:unhideWhenUsed/>
    <w:rsid w:val="009A5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959854">
      <w:bodyDiv w:val="1"/>
      <w:marLeft w:val="0"/>
      <w:marRight w:val="0"/>
      <w:marTop w:val="0"/>
      <w:marBottom w:val="0"/>
      <w:divBdr>
        <w:top w:val="none" w:sz="0" w:space="0" w:color="auto"/>
        <w:left w:val="none" w:sz="0" w:space="0" w:color="auto"/>
        <w:bottom w:val="none" w:sz="0" w:space="0" w:color="auto"/>
        <w:right w:val="none" w:sz="0" w:space="0" w:color="auto"/>
      </w:divBdr>
    </w:div>
    <w:div w:id="820081091">
      <w:bodyDiv w:val="1"/>
      <w:marLeft w:val="0"/>
      <w:marRight w:val="0"/>
      <w:marTop w:val="0"/>
      <w:marBottom w:val="0"/>
      <w:divBdr>
        <w:top w:val="none" w:sz="0" w:space="0" w:color="auto"/>
        <w:left w:val="none" w:sz="0" w:space="0" w:color="auto"/>
        <w:bottom w:val="none" w:sz="0" w:space="0" w:color="auto"/>
        <w:right w:val="none" w:sz="0" w:space="0" w:color="auto"/>
      </w:divBdr>
    </w:div>
    <w:div w:id="910426564">
      <w:bodyDiv w:val="1"/>
      <w:marLeft w:val="0"/>
      <w:marRight w:val="0"/>
      <w:marTop w:val="0"/>
      <w:marBottom w:val="0"/>
      <w:divBdr>
        <w:top w:val="none" w:sz="0" w:space="0" w:color="auto"/>
        <w:left w:val="none" w:sz="0" w:space="0" w:color="auto"/>
        <w:bottom w:val="none" w:sz="0" w:space="0" w:color="auto"/>
        <w:right w:val="none" w:sz="0" w:space="0" w:color="auto"/>
      </w:divBdr>
    </w:div>
    <w:div w:id="1150097450">
      <w:bodyDiv w:val="1"/>
      <w:marLeft w:val="0"/>
      <w:marRight w:val="0"/>
      <w:marTop w:val="0"/>
      <w:marBottom w:val="0"/>
      <w:divBdr>
        <w:top w:val="none" w:sz="0" w:space="0" w:color="auto"/>
        <w:left w:val="none" w:sz="0" w:space="0" w:color="auto"/>
        <w:bottom w:val="none" w:sz="0" w:space="0" w:color="auto"/>
        <w:right w:val="none" w:sz="0" w:space="0" w:color="auto"/>
      </w:divBdr>
    </w:div>
    <w:div w:id="1215773441">
      <w:bodyDiv w:val="1"/>
      <w:marLeft w:val="0"/>
      <w:marRight w:val="0"/>
      <w:marTop w:val="0"/>
      <w:marBottom w:val="0"/>
      <w:divBdr>
        <w:top w:val="none" w:sz="0" w:space="0" w:color="auto"/>
        <w:left w:val="none" w:sz="0" w:space="0" w:color="auto"/>
        <w:bottom w:val="none" w:sz="0" w:space="0" w:color="auto"/>
        <w:right w:val="none" w:sz="0" w:space="0" w:color="auto"/>
      </w:divBdr>
    </w:div>
    <w:div w:id="1436365992">
      <w:bodyDiv w:val="1"/>
      <w:marLeft w:val="0"/>
      <w:marRight w:val="0"/>
      <w:marTop w:val="0"/>
      <w:marBottom w:val="0"/>
      <w:divBdr>
        <w:top w:val="none" w:sz="0" w:space="0" w:color="auto"/>
        <w:left w:val="none" w:sz="0" w:space="0" w:color="auto"/>
        <w:bottom w:val="none" w:sz="0" w:space="0" w:color="auto"/>
        <w:right w:val="none" w:sz="0" w:space="0" w:color="auto"/>
      </w:divBdr>
    </w:div>
    <w:div w:id="1977946318">
      <w:bodyDiv w:val="1"/>
      <w:marLeft w:val="0"/>
      <w:marRight w:val="0"/>
      <w:marTop w:val="0"/>
      <w:marBottom w:val="0"/>
      <w:divBdr>
        <w:top w:val="none" w:sz="0" w:space="0" w:color="auto"/>
        <w:left w:val="none" w:sz="0" w:space="0" w:color="auto"/>
        <w:bottom w:val="none" w:sz="0" w:space="0" w:color="auto"/>
        <w:right w:val="none" w:sz="0" w:space="0" w:color="auto"/>
      </w:divBdr>
    </w:div>
    <w:div w:id="204852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y.usgs.gov/confluence/download/attachments/624464994/Federal%20Government%20Data%20Maturity%20Model.pdf?api=v2" TargetMode="External"/><Relationship Id="rId18" Type="http://schemas.openxmlformats.org/officeDocument/2006/relationships/hyperlink" Target="https://resources.data.gov/assets/documents/fds-data-governance-playbook.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cf.hhs.gov/cb/niem" TargetMode="External"/><Relationship Id="rId17" Type="http://schemas.openxmlformats.org/officeDocument/2006/relationships/hyperlink" Target="https://www.nist.gov/system/files/documents/2020/01/16/NIST%20Privacy%20Framework_V1.0.pdf" TargetMode="External"/><Relationship Id="rId2" Type="http://schemas.openxmlformats.org/officeDocument/2006/relationships/numbering" Target="numbering.xml"/><Relationship Id="rId16" Type="http://schemas.openxmlformats.org/officeDocument/2006/relationships/hyperlink" Target="https://files.meetup.com/19117935/NASA%20-%20Data-Strategy-2015-03-17-White-Paper-Small.pdf" TargetMode="External"/><Relationship Id="rId20" Type="http://schemas.openxmlformats.org/officeDocument/2006/relationships/hyperlink" Target="https://www.fhwa.dot.gov/datagov/dgpvolume%2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ongress.gov/bill/116th-congress/house-bill/150/text"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slds.grads360.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trategy.data.gov/action-plan/"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7274B-13EB-4717-848C-7C022D95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2747</Words>
  <Characters>15661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ACL Data Council Data Governance Standards Working Group Annotated Bibliography June 10, 2020</vt:lpstr>
    </vt:vector>
  </TitlesOfParts>
  <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 Data Council Data Governance Standards Working Group Annotated Bibliography June 10, 2020</dc:title>
  <dc:subject/>
  <dc:creator>Anne Leopold</dc:creator>
  <cp:keywords>ACL Data Council</cp:keywords>
  <dc:description/>
  <cp:lastModifiedBy>Bruyere, Caryn (ACL)</cp:lastModifiedBy>
  <cp:revision>2</cp:revision>
  <dcterms:created xsi:type="dcterms:W3CDTF">2020-09-22T14:38:00Z</dcterms:created>
  <dcterms:modified xsi:type="dcterms:W3CDTF">2020-09-22T14:38:00Z</dcterms:modified>
</cp:coreProperties>
</file>